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BC" w:rsidRPr="002D43BC" w:rsidRDefault="009413BC" w:rsidP="009413BC">
      <w:pPr>
        <w:tabs>
          <w:tab w:val="left" w:pos="216"/>
        </w:tabs>
        <w:spacing w:after="0" w:line="240" w:lineRule="auto"/>
        <w:ind w:left="70"/>
        <w:jc w:val="both"/>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 xml:space="preserve">Validación de la TABLA DE APLICABILIDAD de las obligaciones de transparencia comunes del </w:t>
      </w:r>
    </w:p>
    <w:p w:rsidR="009413BC" w:rsidRPr="002D43BC" w:rsidRDefault="009413BC" w:rsidP="009413BC">
      <w:pPr>
        <w:tabs>
          <w:tab w:val="left" w:pos="216"/>
        </w:tabs>
        <w:spacing w:after="0" w:line="240" w:lineRule="auto"/>
        <w:ind w:left="70"/>
        <w:jc w:val="both"/>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Poder Ejecutivo</w:t>
      </w:r>
    </w:p>
    <w:p w:rsidR="009413BC" w:rsidRPr="002D43BC" w:rsidRDefault="009413BC" w:rsidP="009413BC">
      <w:pPr>
        <w:tabs>
          <w:tab w:val="left" w:pos="216"/>
        </w:tabs>
        <w:spacing w:after="0" w:line="240" w:lineRule="auto"/>
        <w:ind w:left="70"/>
        <w:jc w:val="both"/>
        <w:rPr>
          <w:rFonts w:ascii="Calibri" w:eastAsia="Times New Roman" w:hAnsi="Calibri" w:cs="Times New Roman"/>
          <w:b/>
          <w:bCs/>
          <w:sz w:val="40"/>
          <w:szCs w:val="40"/>
          <w:u w:val="single"/>
          <w:lang w:eastAsia="es-MX"/>
        </w:rPr>
      </w:pPr>
      <w:r w:rsidRPr="002D43BC">
        <w:rPr>
          <w:rFonts w:ascii="Calibri" w:eastAsia="Times New Roman" w:hAnsi="Calibri" w:cs="Times New Roman"/>
          <w:b/>
          <w:bCs/>
          <w:sz w:val="32"/>
          <w:szCs w:val="24"/>
          <w:lang w:eastAsia="es-MX"/>
        </w:rPr>
        <w:t>Dependencia o entidad:</w:t>
      </w:r>
      <w:r w:rsidR="002D43BC">
        <w:rPr>
          <w:rFonts w:ascii="Calibri" w:eastAsia="Times New Roman" w:hAnsi="Calibri" w:cs="Times New Roman"/>
          <w:b/>
          <w:bCs/>
          <w:sz w:val="32"/>
          <w:szCs w:val="24"/>
          <w:lang w:eastAsia="es-MX"/>
        </w:rPr>
        <w:t xml:space="preserve"> </w:t>
      </w:r>
      <w:r w:rsidR="007C4BFB" w:rsidRPr="002D43BC">
        <w:rPr>
          <w:rFonts w:ascii="Calibri" w:eastAsia="Times New Roman" w:hAnsi="Calibri" w:cs="Times New Roman"/>
          <w:b/>
          <w:bCs/>
          <w:sz w:val="40"/>
          <w:szCs w:val="40"/>
          <w:u w:val="single"/>
          <w:lang w:eastAsia="es-MX"/>
        </w:rPr>
        <w:t>INSTITUTO TECNOLÓGICO SUPERIOR DE TEPOSCOLULA.</w:t>
      </w:r>
    </w:p>
    <w:p w:rsidR="009413BC" w:rsidRPr="002D43BC" w:rsidRDefault="009413BC" w:rsidP="009413BC">
      <w:pPr>
        <w:tabs>
          <w:tab w:val="left" w:pos="216"/>
        </w:tabs>
        <w:spacing w:after="0" w:line="240" w:lineRule="auto"/>
        <w:ind w:left="70"/>
        <w:jc w:val="both"/>
        <w:rPr>
          <w:rFonts w:ascii="Calibri" w:eastAsia="Times New Roman" w:hAnsi="Calibri" w:cs="Times New Roman"/>
          <w:b/>
          <w:bCs/>
          <w:sz w:val="32"/>
          <w:szCs w:val="24"/>
          <w:lang w:eastAsia="es-MX"/>
        </w:rPr>
      </w:pPr>
    </w:p>
    <w:tbl>
      <w:tblPr>
        <w:tblStyle w:val="Tablaconcuadrcula"/>
        <w:tblW w:w="0" w:type="auto"/>
        <w:tblInd w:w="1668" w:type="dxa"/>
        <w:tblLook w:val="04A0" w:firstRow="1" w:lastRow="0" w:firstColumn="1" w:lastColumn="0" w:noHBand="0" w:noVBand="1"/>
      </w:tblPr>
      <w:tblGrid>
        <w:gridCol w:w="6800"/>
        <w:gridCol w:w="5266"/>
      </w:tblGrid>
      <w:tr w:rsidR="002D43BC" w:rsidRPr="002D43BC" w:rsidTr="002D43BC">
        <w:trPr>
          <w:trHeight w:val="444"/>
        </w:trPr>
        <w:tc>
          <w:tcPr>
            <w:tcW w:w="6800" w:type="dxa"/>
            <w:shd w:val="clear" w:color="auto" w:fill="D6E3BC" w:themeFill="accent3" w:themeFillTint="66"/>
            <w:vAlign w:val="center"/>
          </w:tcPr>
          <w:p w:rsidR="009413BC" w:rsidRPr="002D43BC" w:rsidRDefault="009413BC" w:rsidP="00E60E9D">
            <w:pPr>
              <w:tabs>
                <w:tab w:val="left" w:pos="216"/>
              </w:tabs>
              <w:ind w:left="70"/>
              <w:jc w:val="center"/>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Tipo de Sujeto obligado:</w:t>
            </w:r>
          </w:p>
        </w:tc>
        <w:tc>
          <w:tcPr>
            <w:tcW w:w="5266" w:type="dxa"/>
            <w:shd w:val="clear" w:color="auto" w:fill="D6E3BC" w:themeFill="accent3" w:themeFillTint="66"/>
            <w:vAlign w:val="center"/>
          </w:tcPr>
          <w:p w:rsidR="009413BC" w:rsidRPr="002D43BC" w:rsidRDefault="009413BC" w:rsidP="00E60E9D">
            <w:pPr>
              <w:tabs>
                <w:tab w:val="left" w:pos="216"/>
              </w:tabs>
              <w:jc w:val="center"/>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Documento de origen:</w:t>
            </w:r>
          </w:p>
        </w:tc>
      </w:tr>
      <w:tr w:rsidR="002D43BC" w:rsidRPr="002D43BC" w:rsidTr="002D43BC">
        <w:trPr>
          <w:trHeight w:val="284"/>
        </w:trPr>
        <w:tc>
          <w:tcPr>
            <w:tcW w:w="6800"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Administración Centralizada</w:t>
            </w:r>
          </w:p>
        </w:tc>
        <w:tc>
          <w:tcPr>
            <w:tcW w:w="5266"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p>
        </w:tc>
      </w:tr>
      <w:tr w:rsidR="002D43BC" w:rsidRPr="002D43BC" w:rsidTr="002D43BC">
        <w:trPr>
          <w:trHeight w:val="273"/>
        </w:trPr>
        <w:tc>
          <w:tcPr>
            <w:tcW w:w="6800"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Desconcentrado</w:t>
            </w:r>
          </w:p>
        </w:tc>
        <w:tc>
          <w:tcPr>
            <w:tcW w:w="5266"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p>
        </w:tc>
      </w:tr>
      <w:tr w:rsidR="002D43BC" w:rsidRPr="002D43BC" w:rsidTr="002D43BC">
        <w:trPr>
          <w:trHeight w:val="1135"/>
        </w:trPr>
        <w:tc>
          <w:tcPr>
            <w:tcW w:w="6800" w:type="dxa"/>
          </w:tcPr>
          <w:p w:rsidR="009413BC" w:rsidRPr="002D43BC" w:rsidRDefault="009413BC" w:rsidP="00E60E9D">
            <w:pPr>
              <w:tabs>
                <w:tab w:val="left" w:pos="216"/>
              </w:tabs>
              <w:jc w:val="both"/>
              <w:rPr>
                <w:rFonts w:ascii="Calibri" w:eastAsia="Times New Roman" w:hAnsi="Calibri" w:cs="Times New Roman"/>
                <w:b/>
                <w:bCs/>
                <w:sz w:val="32"/>
                <w:szCs w:val="24"/>
                <w:u w:val="single"/>
                <w:lang w:eastAsia="es-MX"/>
              </w:rPr>
            </w:pPr>
            <w:r w:rsidRPr="002D43BC">
              <w:rPr>
                <w:rFonts w:ascii="Calibri" w:eastAsia="Times New Roman" w:hAnsi="Calibri" w:cs="Times New Roman"/>
                <w:b/>
                <w:bCs/>
                <w:sz w:val="32"/>
                <w:szCs w:val="24"/>
                <w:u w:val="single"/>
                <w:lang w:eastAsia="es-MX"/>
              </w:rPr>
              <w:t>Descentralizado</w:t>
            </w:r>
          </w:p>
        </w:tc>
        <w:tc>
          <w:tcPr>
            <w:tcW w:w="5266" w:type="dxa"/>
          </w:tcPr>
          <w:p w:rsidR="009413BC" w:rsidRPr="002D43BC" w:rsidRDefault="007C4BFB" w:rsidP="007C4BFB">
            <w:pPr>
              <w:tabs>
                <w:tab w:val="left" w:pos="216"/>
              </w:tabs>
              <w:jc w:val="center"/>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Decreto de Creación de fecha 30 de enero de 2010 a través del Periódico Oficial de Gobierno del Estado</w:t>
            </w:r>
          </w:p>
        </w:tc>
      </w:tr>
      <w:tr w:rsidR="002D43BC" w:rsidRPr="002D43BC" w:rsidTr="002D43BC">
        <w:trPr>
          <w:trHeight w:val="568"/>
        </w:trPr>
        <w:tc>
          <w:tcPr>
            <w:tcW w:w="6800"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Empresa de Participación Estatal Mayoritaria</w:t>
            </w:r>
          </w:p>
        </w:tc>
        <w:tc>
          <w:tcPr>
            <w:tcW w:w="5266"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p>
        </w:tc>
      </w:tr>
      <w:tr w:rsidR="002D43BC" w:rsidRPr="002D43BC" w:rsidTr="002D43BC">
        <w:trPr>
          <w:trHeight w:val="284"/>
        </w:trPr>
        <w:tc>
          <w:tcPr>
            <w:tcW w:w="6800"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r w:rsidRPr="002D43BC">
              <w:rPr>
                <w:rFonts w:ascii="Calibri" w:eastAsia="Times New Roman" w:hAnsi="Calibri" w:cs="Times New Roman"/>
                <w:b/>
                <w:bCs/>
                <w:sz w:val="32"/>
                <w:szCs w:val="24"/>
                <w:lang w:eastAsia="es-MX"/>
              </w:rPr>
              <w:t>Fideicomisos, Fondos y Mandatos</w:t>
            </w:r>
          </w:p>
        </w:tc>
        <w:tc>
          <w:tcPr>
            <w:tcW w:w="5266" w:type="dxa"/>
          </w:tcPr>
          <w:p w:rsidR="009413BC" w:rsidRPr="002D43BC" w:rsidRDefault="009413BC" w:rsidP="00E60E9D">
            <w:pPr>
              <w:tabs>
                <w:tab w:val="left" w:pos="216"/>
              </w:tabs>
              <w:jc w:val="both"/>
              <w:rPr>
                <w:rFonts w:ascii="Calibri" w:eastAsia="Times New Roman" w:hAnsi="Calibri" w:cs="Times New Roman"/>
                <w:b/>
                <w:bCs/>
                <w:sz w:val="32"/>
                <w:szCs w:val="24"/>
                <w:lang w:eastAsia="es-MX"/>
              </w:rPr>
            </w:pPr>
          </w:p>
        </w:tc>
      </w:tr>
    </w:tbl>
    <w:p w:rsidR="009413BC" w:rsidRPr="002D43BC" w:rsidRDefault="009413BC" w:rsidP="009413BC">
      <w:pPr>
        <w:tabs>
          <w:tab w:val="left" w:pos="216"/>
        </w:tabs>
        <w:spacing w:after="0" w:line="240" w:lineRule="auto"/>
        <w:ind w:left="70"/>
        <w:jc w:val="both"/>
        <w:rPr>
          <w:rFonts w:ascii="Calibri" w:eastAsia="Times New Roman" w:hAnsi="Calibri" w:cs="Times New Roman"/>
          <w:b/>
          <w:bCs/>
          <w:sz w:val="32"/>
          <w:szCs w:val="24"/>
          <w:lang w:eastAsia="es-MX"/>
        </w:rPr>
      </w:pPr>
    </w:p>
    <w:tbl>
      <w:tblPr>
        <w:tblW w:w="14194" w:type="dxa"/>
        <w:tblLayout w:type="fixed"/>
        <w:tblCellMar>
          <w:left w:w="70" w:type="dxa"/>
          <w:right w:w="70" w:type="dxa"/>
        </w:tblCellMar>
        <w:tblLook w:val="04A0" w:firstRow="1" w:lastRow="0" w:firstColumn="1" w:lastColumn="0" w:noHBand="0" w:noVBand="1"/>
      </w:tblPr>
      <w:tblGrid>
        <w:gridCol w:w="1328"/>
        <w:gridCol w:w="3196"/>
        <w:gridCol w:w="1438"/>
        <w:gridCol w:w="2378"/>
        <w:gridCol w:w="1492"/>
        <w:gridCol w:w="1427"/>
        <w:gridCol w:w="1678"/>
        <w:gridCol w:w="1257"/>
      </w:tblGrid>
      <w:tr w:rsidR="002D43BC" w:rsidRPr="002D43BC" w:rsidTr="002D43BC">
        <w:trPr>
          <w:trHeight w:val="1372"/>
          <w:tblHeader/>
        </w:trPr>
        <w:tc>
          <w:tcPr>
            <w:tcW w:w="132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9413BC" w:rsidRPr="002D43BC" w:rsidRDefault="009413BC" w:rsidP="00DF2BB3">
            <w:pPr>
              <w:spacing w:after="0" w:line="240" w:lineRule="auto"/>
              <w:jc w:val="center"/>
              <w:rPr>
                <w:rFonts w:eastAsia="Times New Roman" w:cs="Times New Roman"/>
                <w:b/>
                <w:sz w:val="20"/>
                <w:szCs w:val="20"/>
                <w:lang w:eastAsia="es-MX"/>
              </w:rPr>
            </w:pPr>
            <w:r w:rsidRPr="002D43BC">
              <w:rPr>
                <w:rFonts w:eastAsia="Times New Roman" w:cs="Times New Roman"/>
                <w:b/>
                <w:sz w:val="20"/>
                <w:szCs w:val="20"/>
                <w:lang w:eastAsia="es-MX"/>
              </w:rPr>
              <w:t>ARTÍCULO</w:t>
            </w:r>
          </w:p>
        </w:tc>
        <w:tc>
          <w:tcPr>
            <w:tcW w:w="319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413BC" w:rsidRPr="002D43BC" w:rsidRDefault="009413BC" w:rsidP="00DF2BB3">
            <w:pPr>
              <w:spacing w:after="0" w:line="240" w:lineRule="auto"/>
              <w:jc w:val="center"/>
              <w:rPr>
                <w:rFonts w:eastAsia="Times New Roman" w:cs="Times New Roman"/>
                <w:b/>
                <w:sz w:val="20"/>
                <w:szCs w:val="20"/>
                <w:lang w:eastAsia="es-MX"/>
              </w:rPr>
            </w:pPr>
            <w:r w:rsidRPr="002D43BC">
              <w:rPr>
                <w:rFonts w:eastAsia="Times New Roman" w:cs="Times New Roman"/>
                <w:b/>
                <w:sz w:val="20"/>
                <w:szCs w:val="20"/>
                <w:lang w:eastAsia="es-MX"/>
              </w:rPr>
              <w:t>FRACCIÓN</w:t>
            </w:r>
          </w:p>
        </w:tc>
        <w:tc>
          <w:tcPr>
            <w:tcW w:w="1438"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413BC" w:rsidRPr="002D43BC" w:rsidRDefault="009413BC" w:rsidP="00E774C4">
            <w:pPr>
              <w:spacing w:after="0" w:line="240" w:lineRule="auto"/>
              <w:jc w:val="center"/>
              <w:rPr>
                <w:rFonts w:eastAsia="Times New Roman" w:cs="Times New Roman"/>
                <w:b/>
                <w:sz w:val="20"/>
                <w:szCs w:val="20"/>
                <w:lang w:eastAsia="es-MX"/>
              </w:rPr>
            </w:pPr>
            <w:r w:rsidRPr="002D43BC">
              <w:rPr>
                <w:rFonts w:eastAsia="Times New Roman" w:cs="Times New Roman"/>
                <w:b/>
                <w:sz w:val="20"/>
                <w:szCs w:val="20"/>
                <w:lang w:eastAsia="es-MX"/>
              </w:rPr>
              <w:t>APLICA/NO APLICA</w:t>
            </w:r>
          </w:p>
        </w:tc>
        <w:tc>
          <w:tcPr>
            <w:tcW w:w="2378"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413BC" w:rsidRPr="002D43BC" w:rsidRDefault="009413BC" w:rsidP="006939A1">
            <w:pPr>
              <w:spacing w:after="0" w:line="240" w:lineRule="auto"/>
              <w:rPr>
                <w:rFonts w:eastAsia="Times New Roman" w:cs="Times New Roman"/>
                <w:b/>
                <w:sz w:val="20"/>
                <w:szCs w:val="20"/>
                <w:lang w:eastAsia="es-MX"/>
              </w:rPr>
            </w:pPr>
            <w:r w:rsidRPr="002D43BC">
              <w:rPr>
                <w:rFonts w:eastAsia="Times New Roman" w:cs="Times New Roman"/>
                <w:b/>
                <w:sz w:val="20"/>
                <w:szCs w:val="20"/>
                <w:lang w:eastAsia="es-MX"/>
              </w:rPr>
              <w:t>MOTIVACIÓN</w:t>
            </w:r>
          </w:p>
        </w:tc>
        <w:tc>
          <w:tcPr>
            <w:tcW w:w="14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413BC" w:rsidRPr="002D43BC" w:rsidRDefault="009413BC" w:rsidP="006939A1">
            <w:pPr>
              <w:spacing w:after="0" w:line="240" w:lineRule="auto"/>
              <w:rPr>
                <w:rFonts w:eastAsia="Times New Roman" w:cs="Times New Roman"/>
                <w:b/>
                <w:sz w:val="20"/>
                <w:szCs w:val="20"/>
                <w:lang w:eastAsia="es-MX"/>
              </w:rPr>
            </w:pPr>
            <w:r w:rsidRPr="002D43BC">
              <w:rPr>
                <w:rFonts w:eastAsia="Times New Roman" w:cs="Times New Roman"/>
                <w:b/>
                <w:sz w:val="20"/>
                <w:szCs w:val="20"/>
                <w:lang w:eastAsia="es-MX"/>
              </w:rPr>
              <w:t>FUNDAMENTO</w:t>
            </w:r>
          </w:p>
        </w:tc>
        <w:tc>
          <w:tcPr>
            <w:tcW w:w="142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413BC" w:rsidRPr="002D43BC" w:rsidRDefault="009413BC" w:rsidP="006939A1">
            <w:pPr>
              <w:spacing w:after="0" w:line="240" w:lineRule="auto"/>
              <w:rPr>
                <w:rFonts w:eastAsia="Times New Roman" w:cs="Times New Roman"/>
                <w:b/>
                <w:sz w:val="20"/>
                <w:szCs w:val="20"/>
                <w:lang w:eastAsia="es-MX"/>
              </w:rPr>
            </w:pPr>
            <w:r w:rsidRPr="002D43BC">
              <w:rPr>
                <w:rFonts w:eastAsia="Times New Roman" w:cs="Times New Roman"/>
                <w:b/>
                <w:sz w:val="16"/>
                <w:szCs w:val="20"/>
                <w:lang w:eastAsia="es-MX"/>
              </w:rPr>
              <w:t>UNIDAD ADMINISTRATIVA RESPONSABLE DE GENERAR LA INFORMACIÓN</w:t>
            </w:r>
          </w:p>
        </w:tc>
        <w:tc>
          <w:tcPr>
            <w:tcW w:w="167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413BC" w:rsidRPr="002D43BC" w:rsidRDefault="009413BC" w:rsidP="008F2812">
            <w:pPr>
              <w:spacing w:after="0" w:line="240" w:lineRule="auto"/>
              <w:rPr>
                <w:rFonts w:eastAsia="Times New Roman" w:cs="Times New Roman"/>
                <w:b/>
                <w:sz w:val="20"/>
                <w:szCs w:val="20"/>
                <w:lang w:eastAsia="es-MX"/>
              </w:rPr>
            </w:pPr>
            <w:r w:rsidRPr="002D43BC">
              <w:rPr>
                <w:rFonts w:eastAsia="Times New Roman" w:cs="Times New Roman"/>
                <w:b/>
                <w:sz w:val="20"/>
                <w:szCs w:val="20"/>
                <w:lang w:eastAsia="es-MX"/>
              </w:rPr>
              <w:t>OBSERVACIONES</w:t>
            </w:r>
          </w:p>
        </w:tc>
        <w:tc>
          <w:tcPr>
            <w:tcW w:w="125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413BC" w:rsidRPr="002D43BC" w:rsidRDefault="009413BC" w:rsidP="006939A1">
            <w:pPr>
              <w:spacing w:after="0" w:line="240" w:lineRule="auto"/>
              <w:rPr>
                <w:rFonts w:eastAsia="Times New Roman" w:cs="Times New Roman"/>
                <w:b/>
                <w:sz w:val="20"/>
                <w:szCs w:val="20"/>
                <w:lang w:eastAsia="es-MX"/>
              </w:rPr>
            </w:pPr>
            <w:r w:rsidRPr="002D43BC">
              <w:rPr>
                <w:rFonts w:eastAsia="Times New Roman" w:cs="Times New Roman"/>
                <w:b/>
                <w:sz w:val="20"/>
                <w:szCs w:val="20"/>
                <w:lang w:eastAsia="es-MX"/>
              </w:rPr>
              <w:t>VALIDACIÓN IAIP</w:t>
            </w:r>
          </w:p>
        </w:tc>
      </w:tr>
      <w:tr w:rsidR="002D43BC" w:rsidRPr="002D43BC" w:rsidTr="002D43BC">
        <w:trPr>
          <w:trHeight w:val="1161"/>
        </w:trPr>
        <w:tc>
          <w:tcPr>
            <w:tcW w:w="1328" w:type="dxa"/>
            <w:vMerge w:val="restart"/>
            <w:tcBorders>
              <w:top w:val="single" w:sz="4" w:space="0" w:color="auto"/>
              <w:left w:val="single" w:sz="4" w:space="0" w:color="auto"/>
              <w:right w:val="single" w:sz="4" w:space="0" w:color="auto"/>
            </w:tcBorders>
            <w:shd w:val="clear" w:color="auto" w:fill="auto"/>
            <w:vAlign w:val="center"/>
            <w:hideMark/>
          </w:tcPr>
          <w:p w:rsidR="009413BC" w:rsidRPr="002D43BC" w:rsidRDefault="00941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 xml:space="preserve">En la Ley Federal y de las Entidades Federativas se contemplará que los sujetos </w:t>
            </w:r>
            <w:r w:rsidRPr="002D43BC">
              <w:rPr>
                <w:rFonts w:eastAsia="Times New Roman" w:cs="Times New Roman"/>
                <w:i/>
                <w:iCs/>
                <w:sz w:val="18"/>
                <w:szCs w:val="18"/>
                <w:lang w:eastAsia="es-MX"/>
              </w:rPr>
              <w:lastRenderedPageBreak/>
              <w:t>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9413BC" w:rsidRPr="002D43BC" w:rsidRDefault="009413BC" w:rsidP="00097099">
            <w:pPr>
              <w:spacing w:after="0" w:line="240" w:lineRule="auto"/>
              <w:rPr>
                <w:rFonts w:eastAsia="Times New Roman" w:cs="Times New Roman"/>
                <w:i/>
                <w:iCs/>
                <w:sz w:val="18"/>
                <w:szCs w:val="18"/>
                <w:lang w:eastAsia="es-MX"/>
              </w:rPr>
            </w:pPr>
            <w:r w:rsidRPr="002D43BC">
              <w:rPr>
                <w:rFonts w:eastAsia="Times New Roman" w:cs="Times New Roman"/>
                <w:i/>
                <w:iCs/>
                <w:sz w:val="18"/>
                <w:szCs w:val="18"/>
                <w:lang w:eastAsia="es-MX"/>
              </w:rPr>
              <w:br/>
              <w:t>…</w:t>
            </w:r>
          </w:p>
        </w:tc>
        <w:tc>
          <w:tcPr>
            <w:tcW w:w="3196" w:type="dxa"/>
            <w:tcBorders>
              <w:top w:val="single" w:sz="4" w:space="0" w:color="auto"/>
              <w:left w:val="nil"/>
              <w:bottom w:val="single" w:sz="4" w:space="0" w:color="auto"/>
              <w:right w:val="single" w:sz="4" w:space="0" w:color="auto"/>
            </w:tcBorders>
            <w:shd w:val="clear" w:color="auto" w:fill="auto"/>
            <w:hideMark/>
          </w:tcPr>
          <w:p w:rsidR="009413BC" w:rsidRPr="002D43BC" w:rsidRDefault="00941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 xml:space="preserve">Fracción I </w:t>
            </w:r>
            <w:r w:rsidRPr="002D43BC">
              <w:rPr>
                <w:rFonts w:eastAsia="Times New Roman" w:cs="Times New Roman"/>
                <w:i/>
                <w:iCs/>
                <w:sz w:val="18"/>
                <w:szCs w:val="18"/>
                <w:lang w:eastAsia="es-MX"/>
              </w:rPr>
              <w:t>El marco normativo aplicable al sujeto obligado, en el que deberá incluirse leyes, códigos, reglamentos, decretos de creación, manuales administrativos, reglas de operación, criterios, políticas, entre otros;</w:t>
            </w:r>
          </w:p>
          <w:p w:rsidR="009413BC" w:rsidRPr="002D43BC" w:rsidRDefault="009413BC" w:rsidP="00DF2BB3">
            <w:pPr>
              <w:spacing w:after="0" w:line="240" w:lineRule="auto"/>
              <w:rPr>
                <w:rFonts w:eastAsia="Times New Roman" w:cs="Times New Roman"/>
                <w:i/>
                <w:iCs/>
                <w:sz w:val="18"/>
                <w:szCs w:val="18"/>
                <w:lang w:eastAsia="es-MX"/>
              </w:rPr>
            </w:pPr>
          </w:p>
        </w:tc>
        <w:tc>
          <w:tcPr>
            <w:tcW w:w="1438" w:type="dxa"/>
            <w:tcBorders>
              <w:top w:val="single" w:sz="4" w:space="0" w:color="auto"/>
              <w:left w:val="nil"/>
              <w:bottom w:val="single" w:sz="4" w:space="0" w:color="auto"/>
              <w:right w:val="single" w:sz="4" w:space="0" w:color="auto"/>
            </w:tcBorders>
            <w:shd w:val="clear" w:color="auto" w:fill="auto"/>
            <w:vAlign w:val="center"/>
          </w:tcPr>
          <w:p w:rsidR="009413BC" w:rsidRPr="002D43BC" w:rsidRDefault="007C4BFB"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single" w:sz="4" w:space="0" w:color="auto"/>
              <w:left w:val="nil"/>
              <w:bottom w:val="single" w:sz="4" w:space="0" w:color="auto"/>
              <w:right w:val="single" w:sz="4" w:space="0" w:color="auto"/>
            </w:tcBorders>
            <w:shd w:val="clear" w:color="auto" w:fill="auto"/>
            <w:vAlign w:val="center"/>
          </w:tcPr>
          <w:p w:rsidR="009413BC" w:rsidRPr="002D43BC" w:rsidRDefault="007C4BFB"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Toda vez que en cada Entidad existe un marco normativo para la debida operación y realización de su objetivo</w:t>
            </w:r>
            <w:r w:rsidR="009D5EFC" w:rsidRPr="002D43BC">
              <w:rPr>
                <w:rFonts w:eastAsia="Times New Roman" w:cs="Times New Roman"/>
                <w:sz w:val="18"/>
                <w:szCs w:val="18"/>
                <w:lang w:eastAsia="es-MX"/>
              </w:rPr>
              <w:t>.</w:t>
            </w:r>
          </w:p>
        </w:tc>
        <w:tc>
          <w:tcPr>
            <w:tcW w:w="1492" w:type="dxa"/>
            <w:tcBorders>
              <w:top w:val="single" w:sz="4" w:space="0" w:color="auto"/>
              <w:left w:val="nil"/>
              <w:bottom w:val="single" w:sz="4" w:space="0" w:color="auto"/>
              <w:right w:val="single" w:sz="4" w:space="0" w:color="auto"/>
            </w:tcBorders>
            <w:shd w:val="clear" w:color="auto" w:fill="auto"/>
            <w:vAlign w:val="center"/>
          </w:tcPr>
          <w:p w:rsidR="009413BC" w:rsidRPr="002D43BC" w:rsidRDefault="00941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9413BC" w:rsidRPr="002D43BC" w:rsidRDefault="007C4BFB"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Planeación y Vinculación</w:t>
            </w:r>
          </w:p>
        </w:tc>
        <w:tc>
          <w:tcPr>
            <w:tcW w:w="1678" w:type="dxa"/>
            <w:tcBorders>
              <w:top w:val="single" w:sz="4" w:space="0" w:color="auto"/>
              <w:left w:val="single" w:sz="4" w:space="0" w:color="auto"/>
              <w:bottom w:val="single" w:sz="4" w:space="0" w:color="auto"/>
              <w:right w:val="single" w:sz="4" w:space="0" w:color="auto"/>
            </w:tcBorders>
          </w:tcPr>
          <w:p w:rsidR="009413BC" w:rsidRPr="002D43BC" w:rsidRDefault="009413BC" w:rsidP="006939A1">
            <w:pPr>
              <w:spacing w:after="0" w:line="240" w:lineRule="auto"/>
              <w:rPr>
                <w:rFonts w:eastAsia="Times New Roman" w:cs="Times New Roman"/>
                <w:sz w:val="18"/>
                <w:szCs w:val="18"/>
                <w:lang w:eastAsia="es-MX"/>
              </w:rPr>
            </w:pPr>
          </w:p>
        </w:tc>
        <w:tc>
          <w:tcPr>
            <w:tcW w:w="1257" w:type="dxa"/>
            <w:tcBorders>
              <w:top w:val="single" w:sz="4" w:space="0" w:color="auto"/>
              <w:left w:val="single" w:sz="4" w:space="0" w:color="auto"/>
              <w:bottom w:val="single" w:sz="4" w:space="0" w:color="auto"/>
              <w:right w:val="single" w:sz="4" w:space="0" w:color="auto"/>
            </w:tcBorders>
            <w:vAlign w:val="center"/>
          </w:tcPr>
          <w:p w:rsidR="00941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VALIDADA</w:t>
            </w:r>
          </w:p>
        </w:tc>
      </w:tr>
      <w:tr w:rsidR="002D43BC" w:rsidRPr="002D43BC" w:rsidTr="002D43BC">
        <w:trPr>
          <w:trHeight w:val="3062"/>
        </w:trPr>
        <w:tc>
          <w:tcPr>
            <w:tcW w:w="1328" w:type="dxa"/>
            <w:vMerge/>
            <w:tcBorders>
              <w:left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II </w:t>
            </w:r>
            <w:r w:rsidRPr="002D43BC">
              <w:rPr>
                <w:rFonts w:eastAsia="Times New Roman" w:cs="Times New Roman"/>
                <w:i/>
                <w:iCs/>
                <w:sz w:val="18"/>
                <w:szCs w:val="18"/>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rsidR="002D43BC" w:rsidRPr="002D43BC" w:rsidRDefault="002D43BC" w:rsidP="00DF2BB3">
            <w:pPr>
              <w:spacing w:after="0" w:line="240" w:lineRule="auto"/>
              <w:rPr>
                <w:rFonts w:eastAsia="Times New Roman" w:cs="Times New Roman"/>
                <w:i/>
                <w:iCs/>
                <w:sz w:val="18"/>
                <w:szCs w:val="18"/>
                <w:lang w:eastAsia="es-MX"/>
              </w:rPr>
            </w:pP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112B9A">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Debidamente autorizada por la Secretaría de Administración y Titular del Poder Ejecutivo de Gobierno del Estado de Oaxaca.</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833528">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 xml:space="preserve">Subdirección de Planeación y Vinculación </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771"/>
        </w:trPr>
        <w:tc>
          <w:tcPr>
            <w:tcW w:w="1328" w:type="dxa"/>
            <w:vMerge/>
            <w:tcBorders>
              <w:left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III </w:t>
            </w:r>
            <w:r w:rsidRPr="002D43BC">
              <w:rPr>
                <w:rFonts w:eastAsia="Times New Roman" w:cs="Times New Roman"/>
                <w:i/>
                <w:iCs/>
                <w:sz w:val="18"/>
                <w:szCs w:val="18"/>
                <w:lang w:eastAsia="es-MX"/>
              </w:rPr>
              <w:t>Las facultades de cada Área;</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Esta disposición está consagrada en el Reglamento Interno del Instituto Tecnológico Superior de Teposcolula, publicado el día 20 de noviembre de 2010 en el Periódico oficial de Gobierno del estado de Oaxaca.</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 xml:space="preserve">Subdirección de Planeación y Vinculación </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402"/>
        </w:trPr>
        <w:tc>
          <w:tcPr>
            <w:tcW w:w="1328" w:type="dxa"/>
            <w:vMerge/>
            <w:tcBorders>
              <w:left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IV </w:t>
            </w:r>
            <w:r w:rsidRPr="002D43BC">
              <w:rPr>
                <w:rFonts w:eastAsia="Times New Roman" w:cs="Times New Roman"/>
                <w:i/>
                <w:iCs/>
                <w:sz w:val="18"/>
                <w:szCs w:val="18"/>
                <w:lang w:eastAsia="es-MX"/>
              </w:rPr>
              <w:t>Las metas y objetivos de las Áreas de conformidad con sus programas operativos;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Planeación, Programación y Evaluación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869"/>
        </w:trPr>
        <w:tc>
          <w:tcPr>
            <w:tcW w:w="1328" w:type="dxa"/>
            <w:vMerge/>
            <w:tcBorders>
              <w:left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Fracción V</w:t>
            </w:r>
            <w:r w:rsidRPr="002D43BC">
              <w:rPr>
                <w:rFonts w:eastAsia="Times New Roman" w:cs="Times New Roman"/>
                <w:i/>
                <w:iCs/>
                <w:sz w:val="18"/>
                <w:szCs w:val="18"/>
                <w:lang w:eastAsia="es-MX"/>
              </w:rPr>
              <w:br w:type="page"/>
            </w:r>
            <w:r w:rsidRPr="002D43BC">
              <w:rPr>
                <w:rFonts w:eastAsia="Times New Roman" w:cs="Times New Roman"/>
                <w:i/>
                <w:iCs/>
                <w:sz w:val="18"/>
                <w:szCs w:val="18"/>
                <w:lang w:eastAsia="es-MX"/>
              </w:rPr>
              <w:br w:type="page"/>
              <w:t xml:space="preserve"> Los indicadores relacionados con temas de interés público o trascendencia social que conforme a sus funciones, deban establecer;</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Planeación, Programación y Evaluación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61"/>
        </w:trPr>
        <w:tc>
          <w:tcPr>
            <w:tcW w:w="1328" w:type="dxa"/>
            <w:vMerge/>
            <w:tcBorders>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VI </w:t>
            </w:r>
            <w:r w:rsidRPr="002D43BC">
              <w:rPr>
                <w:rFonts w:eastAsia="Times New Roman" w:cs="Times New Roman"/>
                <w:i/>
                <w:iCs/>
                <w:sz w:val="18"/>
                <w:szCs w:val="18"/>
                <w:lang w:eastAsia="es-MX"/>
              </w:rPr>
              <w:t>Los indicadores que permitan rendir cuenta de sus objetivos y resultados;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Planeación, Programación y Evaluación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37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VII </w:t>
            </w:r>
            <w:r w:rsidRPr="002D43BC">
              <w:rPr>
                <w:rFonts w:eastAsia="Times New Roman" w:cs="Times New Roman"/>
                <w:i/>
                <w:iCs/>
                <w:sz w:val="18"/>
                <w:szCs w:val="18"/>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Toda vez que en cada entidad existe un enlace para la debida comunicación y realización del objetivo del sujeto obligado.</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Servicios Administrativos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36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VIII </w:t>
            </w:r>
            <w:r w:rsidRPr="002D43BC">
              <w:rPr>
                <w:rFonts w:eastAsia="Times New Roman" w:cs="Times New Roman"/>
                <w:i/>
                <w:iCs/>
                <w:sz w:val="18"/>
                <w:szCs w:val="18"/>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0E632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Todo trabajo genera alguna remuneración y demás prestaciones, cual fuere el acto que dio origen a la  relación laboral.</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Art. 123 apartado A, de la Constitución Política de los Estados Unidos Mexicanos; 20 de la Ley Federal del Trabajo</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97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IX </w:t>
            </w:r>
            <w:r w:rsidRPr="002D43BC">
              <w:rPr>
                <w:rFonts w:eastAsia="Times New Roman" w:cs="Times New Roman"/>
                <w:i/>
                <w:iCs/>
                <w:sz w:val="18"/>
                <w:szCs w:val="18"/>
                <w:lang w:eastAsia="es-MX"/>
              </w:rPr>
              <w:t>Los gastos de representación y viáticos, así como el objeto e informe de comisión correspondiente;</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68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type="page"/>
            </w:r>
            <w:r w:rsidRPr="002D43BC">
              <w:rPr>
                <w:rFonts w:eastAsia="Times New Roman" w:cs="Times New Roman"/>
                <w:i/>
                <w:iCs/>
                <w:sz w:val="18"/>
                <w:szCs w:val="18"/>
                <w:lang w:eastAsia="es-MX"/>
              </w:rPr>
              <w:br w:type="page"/>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Fracción X</w:t>
            </w:r>
            <w:r w:rsidRPr="002D43BC">
              <w:rPr>
                <w:rFonts w:eastAsia="Times New Roman" w:cs="Times New Roman"/>
                <w:i/>
                <w:iCs/>
                <w:sz w:val="18"/>
                <w:szCs w:val="18"/>
                <w:lang w:eastAsia="es-MX"/>
              </w:rPr>
              <w:br w:type="page"/>
            </w:r>
            <w:r w:rsidRPr="002D43BC">
              <w:rPr>
                <w:rFonts w:eastAsia="Times New Roman" w:cs="Times New Roman"/>
                <w:i/>
                <w:iCs/>
                <w:sz w:val="18"/>
                <w:szCs w:val="18"/>
                <w:lang w:eastAsia="es-MX"/>
              </w:rPr>
              <w:br w:type="page"/>
              <w:t>El número total de las plazas y del personal de base y confianza, especificando el total de las vacantes, por nivel de puesto, para cada unidad administrativa;</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Art. 21 del Decreto de creación del ITSTE</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111"/>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XI </w:t>
            </w:r>
            <w:r w:rsidRPr="002D43BC">
              <w:rPr>
                <w:rFonts w:eastAsia="Times New Roman" w:cs="Times New Roman"/>
                <w:i/>
                <w:iCs/>
                <w:sz w:val="18"/>
                <w:szCs w:val="18"/>
                <w:lang w:eastAsia="es-MX"/>
              </w:rPr>
              <w:t>Las contrataciones de servicios profesionales por honorarios, señalando los nombres de los prestadores de servicios, los servicios contratados, el monto de los honorarios y el periodo de contratación;</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C45B9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04530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C70833">
            <w:pPr>
              <w:spacing w:after="0" w:line="240" w:lineRule="auto"/>
              <w:jc w:val="both"/>
              <w:rPr>
                <w:rFonts w:eastAsia="Times New Roman" w:cs="Times New Roman"/>
                <w:b/>
                <w:i/>
                <w:sz w:val="18"/>
                <w:szCs w:val="18"/>
                <w:lang w:eastAsia="es-MX"/>
              </w:rPr>
            </w:pPr>
            <w:r w:rsidRPr="002D43BC">
              <w:rPr>
                <w:rFonts w:eastAsia="Times New Roman" w:cs="Times New Roman"/>
                <w:b/>
                <w:i/>
                <w:sz w:val="18"/>
                <w:szCs w:val="18"/>
                <w:lang w:eastAsia="es-MX"/>
              </w:rPr>
              <w:t>hasta el momento no se ha contratado personal con el carácter de honorarios</w:t>
            </w: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01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XII </w:t>
            </w:r>
            <w:r w:rsidRPr="002D43BC">
              <w:rPr>
                <w:rFonts w:eastAsia="Times New Roman" w:cs="Times New Roman"/>
                <w:i/>
                <w:iCs/>
                <w:sz w:val="18"/>
                <w:szCs w:val="18"/>
                <w:lang w:eastAsia="es-MX"/>
              </w:rPr>
              <w:t>La información en Versión Pública de las declaraciones patrimoniales de los Servidores Públicos que así lo determinen, en los sistemas habilitados para ello, de acuerdo a la normatividad aplicable;</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48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XIII </w:t>
            </w:r>
            <w:r w:rsidRPr="002D43BC">
              <w:rPr>
                <w:rFonts w:eastAsia="Times New Roman" w:cs="Times New Roman"/>
                <w:i/>
                <w:iCs/>
                <w:sz w:val="18"/>
                <w:szCs w:val="18"/>
                <w:lang w:eastAsia="es-MX"/>
              </w:rPr>
              <w:t>El domicilio de la Unidad de Transparencia, además de la dirección electrónica donde podrán recibirse las solicitudes para obtener la información;</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Esta información la proporciona el área de la Unidad de Transparencia</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AF1AD9">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Art. 25 del Decreto de creación del ITSTE</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Unidad de Transparencia</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61"/>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XIV </w:t>
            </w:r>
            <w:r w:rsidRPr="002D43BC">
              <w:rPr>
                <w:rFonts w:eastAsia="Times New Roman" w:cs="Times New Roman"/>
                <w:i/>
                <w:iCs/>
                <w:sz w:val="18"/>
                <w:szCs w:val="18"/>
                <w:lang w:eastAsia="es-MX"/>
              </w:rPr>
              <w:t>Las convocatorias a concursos para ocupar cargos públicos y los resultados de los mismos;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C45B94">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 xml:space="preserve">El Director General tiene la facultad de nombrar o remover  conforme a la normatividad aplicable </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Art. 11 fracción IV de Decreto de Creación del ITSTE</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681"/>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type="page"/>
            </w:r>
            <w:r w:rsidRPr="002D43BC">
              <w:rPr>
                <w:rFonts w:eastAsia="Times New Roman" w:cs="Times New Roman"/>
                <w:i/>
                <w:iCs/>
                <w:sz w:val="18"/>
                <w:szCs w:val="18"/>
                <w:lang w:eastAsia="es-MX"/>
              </w:rPr>
              <w:br w:type="page"/>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Fracción XV</w:t>
            </w:r>
            <w:r w:rsidRPr="002D43BC">
              <w:rPr>
                <w:rFonts w:eastAsia="Times New Roman" w:cs="Times New Roman"/>
                <w:i/>
                <w:iCs/>
                <w:sz w:val="18"/>
                <w:szCs w:val="18"/>
                <w:lang w:eastAsia="es-MX"/>
              </w:rPr>
              <w:br w:type="page"/>
              <w:t>La información de los programas de subsidios, estímulos y apoyos, en el que se deberá informar respecto de los programas de transferencia, de servicios, de infraestructura social y de subsidio, en los que se deberá contener lo siguiente:</w:t>
            </w:r>
            <w:r w:rsidRPr="002D43BC">
              <w:rPr>
                <w:rFonts w:eastAsia="Times New Roman" w:cs="Times New Roman"/>
                <w:i/>
                <w:iCs/>
                <w:sz w:val="18"/>
                <w:szCs w:val="18"/>
                <w:lang w:eastAsia="es-MX"/>
              </w:rPr>
              <w:br w:type="page"/>
              <w:t>...</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Planeación, Programación y Evaluación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782"/>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XVI </w:t>
            </w:r>
            <w:r w:rsidRPr="002D43BC">
              <w:rPr>
                <w:rFonts w:eastAsia="Times New Roman" w:cs="Times New Roman"/>
                <w:i/>
                <w:iCs/>
                <w:sz w:val="18"/>
                <w:szCs w:val="18"/>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8C2264">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Toda relación laboral en el ITSTE es mediante un contrato individual de trabajo por tiempo determinado, excepto el personal directivo nombrado por Dirección General mediante el Órgano de Gobierno.</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9F78FC">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Art. 123 apartado A, de la Constitución Política de los Estados Unidos Mexicanos; 20 de la Ley Federal del Trabajo</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114"/>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type="page"/>
            </w:r>
            <w:r w:rsidRPr="002D43BC">
              <w:rPr>
                <w:rFonts w:eastAsia="Times New Roman" w:cs="Times New Roman"/>
                <w:i/>
                <w:iCs/>
                <w:sz w:val="18"/>
                <w:szCs w:val="18"/>
                <w:lang w:eastAsia="es-MX"/>
              </w:rPr>
              <w:br w:type="page"/>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Fracción XVII</w:t>
            </w:r>
            <w:r w:rsidRPr="002D43BC">
              <w:rPr>
                <w:rFonts w:eastAsia="Times New Roman" w:cs="Times New Roman"/>
                <w:i/>
                <w:iCs/>
                <w:sz w:val="18"/>
                <w:szCs w:val="18"/>
                <w:lang w:eastAsia="es-MX"/>
              </w:rPr>
              <w:br w:type="page"/>
            </w:r>
            <w:r w:rsidRPr="002D43BC">
              <w:rPr>
                <w:rFonts w:eastAsia="Times New Roman" w:cs="Times New Roman"/>
                <w:i/>
                <w:iCs/>
                <w:sz w:val="18"/>
                <w:szCs w:val="18"/>
                <w:lang w:eastAsia="es-MX"/>
              </w:rPr>
              <w:br w:type="page"/>
              <w:t xml:space="preserve"> La información curricular, desde el nivel de jefe de departamento o equivalente, hasta el titular del sujeto obligado, así como, en su caso, las sanciones administrativas de que haya sido objeto;</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251753">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481"/>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XVIII </w:t>
            </w:r>
            <w:r w:rsidRPr="002D43BC">
              <w:rPr>
                <w:rFonts w:eastAsia="Times New Roman" w:cs="Times New Roman"/>
                <w:i/>
                <w:iCs/>
                <w:sz w:val="18"/>
                <w:szCs w:val="18"/>
                <w:lang w:eastAsia="es-MX"/>
              </w:rPr>
              <w:t>El listado de Servidores Públicos con sanciones administrativas definitivas, especificando la causa de sanción y la disposición;</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ED7630">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Servicios Administrativos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i/>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243"/>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XIX </w:t>
            </w:r>
            <w:r w:rsidRPr="002D43BC">
              <w:rPr>
                <w:rFonts w:eastAsia="Times New Roman" w:cs="Times New Roman"/>
                <w:i/>
                <w:iCs/>
                <w:sz w:val="18"/>
                <w:szCs w:val="18"/>
                <w:lang w:eastAsia="es-MX"/>
              </w:rPr>
              <w:t>Los servicios que ofrecen señalando los requisitos para acceder a ellos;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AA0D16">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Servicios Escolares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13"/>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 </w:t>
            </w:r>
            <w:r w:rsidRPr="002D43BC">
              <w:rPr>
                <w:rFonts w:eastAsia="Times New Roman" w:cs="Times New Roman"/>
                <w:i/>
                <w:iCs/>
                <w:sz w:val="18"/>
                <w:szCs w:val="18"/>
                <w:lang w:eastAsia="es-MX"/>
              </w:rPr>
              <w:t>Los trámites, requisitos y formatos que ofrecen;</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2C33D9">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Representante de Dirección general ante el Sistema de Gestión de la Calidad</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33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XXI </w:t>
            </w:r>
            <w:r w:rsidRPr="002D43BC">
              <w:rPr>
                <w:rFonts w:eastAsia="Times New Roman" w:cs="Times New Roman"/>
                <w:i/>
                <w:iCs/>
                <w:sz w:val="18"/>
                <w:szCs w:val="18"/>
                <w:lang w:eastAsia="es-MX"/>
              </w:rPr>
              <w:t>La información financiera sobre el presupuesto asignado, así como los informes del ejercicio trimestral del gasto, en términos de la Ley General de Contabilidad Gubernamental y demás normatividad aplicable;</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402"/>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XXII </w:t>
            </w:r>
            <w:r w:rsidRPr="002D43BC">
              <w:rPr>
                <w:rFonts w:eastAsia="Times New Roman" w:cs="Times New Roman"/>
                <w:i/>
                <w:iCs/>
                <w:sz w:val="18"/>
                <w:szCs w:val="18"/>
                <w:lang w:eastAsia="es-MX"/>
              </w:rPr>
              <w:t>La información relativa a la deuda pública, en términos de la normatividad aplicable;</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No aplica</w:t>
            </w:r>
          </w:p>
        </w:tc>
        <w:tc>
          <w:tcPr>
            <w:tcW w:w="2378" w:type="dxa"/>
            <w:tcBorders>
              <w:top w:val="nil"/>
              <w:left w:val="nil"/>
              <w:bottom w:val="single" w:sz="4" w:space="0" w:color="auto"/>
              <w:right w:val="single" w:sz="4" w:space="0" w:color="auto"/>
            </w:tcBorders>
            <w:shd w:val="clear" w:color="auto" w:fill="auto"/>
            <w:noWrap/>
            <w:vAlign w:val="center"/>
          </w:tcPr>
          <w:p w:rsidR="002D43BC" w:rsidRPr="002D43BC" w:rsidRDefault="002D43BC" w:rsidP="00252B9C">
            <w:pPr>
              <w:spacing w:after="0" w:line="240" w:lineRule="auto"/>
              <w:rPr>
                <w:rFonts w:eastAsia="Times New Roman" w:cs="Times New Roman"/>
                <w:sz w:val="18"/>
                <w:szCs w:val="18"/>
                <w:lang w:eastAsia="es-MX"/>
              </w:rPr>
            </w:pPr>
            <w:r w:rsidRPr="002D43BC">
              <w:rPr>
                <w:rFonts w:ascii="Arial" w:hAnsi="Arial" w:cs="Arial"/>
                <w:sz w:val="20"/>
                <w:szCs w:val="20"/>
              </w:rPr>
              <w:t xml:space="preserve">El Instituto Tecnológico Superior de </w:t>
            </w:r>
            <w:proofErr w:type="spellStart"/>
            <w:r w:rsidRPr="002D43BC">
              <w:rPr>
                <w:rFonts w:ascii="Arial" w:hAnsi="Arial" w:cs="Arial"/>
                <w:sz w:val="20"/>
                <w:szCs w:val="20"/>
              </w:rPr>
              <w:t>Teposcolula</w:t>
            </w:r>
            <w:proofErr w:type="spellEnd"/>
            <w:r w:rsidRPr="002D43BC">
              <w:rPr>
                <w:rFonts w:ascii="Arial" w:hAnsi="Arial" w:cs="Arial"/>
                <w:sz w:val="20"/>
                <w:szCs w:val="20"/>
              </w:rPr>
              <w:t xml:space="preserve"> no tiene deuda pública adquirida. Cuando lo hubiera, la Secretaría de Finanzas del Gobierno del Estado de Oaxaca es el único Sujeto Obligado responsable de proporcionar la información pública de oficio relativa a la Deuda Pública Estatal. </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b/>
                <w:i/>
                <w:sz w:val="18"/>
                <w:szCs w:val="18"/>
                <w:lang w:eastAsia="es-MX"/>
              </w:rPr>
            </w:pPr>
            <w:r w:rsidRPr="002D43BC">
              <w:rPr>
                <w:rFonts w:ascii="Arial" w:hAnsi="Arial" w:cs="Arial"/>
                <w:sz w:val="20"/>
                <w:szCs w:val="20"/>
              </w:rPr>
              <w:t xml:space="preserve">Fracción XI del Artículo 9 de la Ley de Transparencia y Acceso a la Información Pública para el Estado de Oaxaca. Lo anterior con fundamento en los Artículos 1, 3 Fracción I ,26 ,27 Fracción XII, y 45 Fracción L de la Ley Orgánica del Poder </w:t>
            </w:r>
            <w:r w:rsidRPr="002D43BC">
              <w:rPr>
                <w:rFonts w:ascii="Arial" w:hAnsi="Arial" w:cs="Arial"/>
                <w:sz w:val="20"/>
                <w:szCs w:val="20"/>
              </w:rPr>
              <w:lastRenderedPageBreak/>
              <w:t>Ejecutivo del Estado de Oaxaca, además de los Artículos 6, 11 Fracciones X y XIX, y 19 Fracciones II y III de la Ley de Deuda Pública Estatal y Municipal</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86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XXIII </w:t>
            </w:r>
            <w:r w:rsidRPr="002D43BC">
              <w:rPr>
                <w:rFonts w:eastAsia="Times New Roman" w:cs="Times New Roman"/>
                <w:i/>
                <w:iCs/>
                <w:sz w:val="18"/>
                <w:szCs w:val="18"/>
                <w:lang w:eastAsia="es-MX"/>
              </w:rPr>
              <w:t>Los montos destinados a gastos relativos a comunicación social y publicidad oficial desglosada por tipo de medio, proveedores, número de contrato y concepto o campaña;</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86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XXIV </w:t>
            </w:r>
            <w:r w:rsidRPr="002D43BC">
              <w:rPr>
                <w:rFonts w:eastAsia="Times New Roman" w:cs="Times New Roman"/>
                <w:i/>
                <w:iCs/>
                <w:sz w:val="18"/>
                <w:szCs w:val="18"/>
                <w:lang w:eastAsia="es-MX"/>
              </w:rPr>
              <w:t>Los informes de resultados de las auditorías al ejercicio presupuestal de cada sujeto obligado que se realicen y, en su caso, las aclaraciones que correspondan;</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87"/>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XXV </w:t>
            </w:r>
            <w:r w:rsidRPr="002D43BC">
              <w:rPr>
                <w:rFonts w:eastAsia="Times New Roman" w:cs="Times New Roman"/>
                <w:i/>
                <w:iCs/>
                <w:sz w:val="18"/>
                <w:szCs w:val="18"/>
                <w:lang w:eastAsia="es-MX"/>
              </w:rPr>
              <w:t>El resultado de la dictaminación de los estados financieros;</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No 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El Instituto Tecnológico de Teposcolula no dictamina sus estados financieros derivado que no se encuentra en los supuestos establecidos en el Código Fiscal de la Federación</w:t>
            </w: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Articulo 32 A del Código Fiscal de la Federación</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53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highlight w:val="yellow"/>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XXVI </w:t>
            </w:r>
            <w:r w:rsidRPr="002D43BC">
              <w:rPr>
                <w:rFonts w:eastAsia="Times New Roman" w:cs="Times New Roman"/>
                <w:i/>
                <w:iCs/>
                <w:sz w:val="18"/>
                <w:szCs w:val="18"/>
                <w:lang w:eastAsia="es-MX"/>
              </w:rPr>
              <w:t xml:space="preserve">Los montos, criterios, convocatorias y listado de personas físicas o morales a quienes, por cualquier motivo, se les asigne o permita usar recursos públicos o, en los términos de las disposiciones aplicables, realicen actos de autoridad. Asimismo, los informes que </w:t>
            </w:r>
            <w:r w:rsidRPr="002D43BC">
              <w:rPr>
                <w:rFonts w:eastAsia="Times New Roman" w:cs="Times New Roman"/>
                <w:i/>
                <w:iCs/>
                <w:sz w:val="18"/>
                <w:szCs w:val="18"/>
                <w:lang w:eastAsia="es-MX"/>
              </w:rPr>
              <w:lastRenderedPageBreak/>
              <w:t>dichas personas les entreguen sobre el uso y destino de dichos recursos;</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lastRenderedPageBreak/>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C70833">
            <w:pPr>
              <w:pStyle w:val="ecxmsonormal"/>
              <w:spacing w:before="0" w:beforeAutospacing="0" w:after="0" w:afterAutospacing="0"/>
              <w:jc w:val="both"/>
              <w:rPr>
                <w:b/>
                <w:i/>
                <w:sz w:val="18"/>
                <w:szCs w:val="18"/>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Artículo 2 del Decreto de Creación del ITSTE</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C70833">
            <w:pPr>
              <w:spacing w:after="0" w:line="240" w:lineRule="auto"/>
              <w:jc w:val="both"/>
              <w:rPr>
                <w:rFonts w:eastAsia="Times New Roman" w:cs="Times New Roman"/>
                <w:sz w:val="18"/>
                <w:szCs w:val="18"/>
                <w:lang w:eastAsia="es-MX"/>
              </w:rPr>
            </w:pPr>
            <w:r w:rsidRPr="002D43BC">
              <w:rPr>
                <w:rFonts w:eastAsia="Times New Roman" w:cs="Times New Roman"/>
                <w:sz w:val="18"/>
                <w:szCs w:val="18"/>
                <w:lang w:eastAsia="es-MX"/>
              </w:rPr>
              <w:t xml:space="preserve">es aplicable la fracción al Sujeto Obligado en términos de los Lineamientos Técnicos Generales para la publicación </w:t>
            </w:r>
            <w:r w:rsidRPr="002D43BC">
              <w:rPr>
                <w:rFonts w:eastAsia="Times New Roman" w:cs="Times New Roman"/>
                <w:sz w:val="18"/>
                <w:szCs w:val="18"/>
                <w:lang w:eastAsia="es-MX"/>
              </w:rPr>
              <w:lastRenderedPageBreak/>
              <w:t>homologación y estandarización de la información hasta el momento no se han asignado recursos a terceras personas físicas o morales</w:t>
            </w: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lastRenderedPageBreak/>
              <w:t>VALIDADA</w:t>
            </w:r>
          </w:p>
        </w:tc>
      </w:tr>
      <w:tr w:rsidR="002D43BC" w:rsidRPr="002D43BC" w:rsidTr="002D43BC">
        <w:trPr>
          <w:trHeight w:val="73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XXVII </w:t>
            </w:r>
            <w:r w:rsidRPr="002D43BC">
              <w:rPr>
                <w:rFonts w:eastAsia="Times New Roman" w:cs="Times New Roman"/>
                <w:i/>
                <w:iCs/>
                <w:sz w:val="18"/>
                <w:szCs w:val="18"/>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D21689">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p>
        </w:tc>
        <w:tc>
          <w:tcPr>
            <w:tcW w:w="1678" w:type="dxa"/>
            <w:tcBorders>
              <w:top w:val="nil"/>
              <w:left w:val="single" w:sz="4" w:space="0" w:color="auto"/>
              <w:bottom w:val="single" w:sz="4" w:space="0" w:color="auto"/>
              <w:right w:val="single" w:sz="4" w:space="0" w:color="auto"/>
            </w:tcBorders>
          </w:tcPr>
          <w:p w:rsidR="002D43BC" w:rsidRPr="002D43BC" w:rsidRDefault="002D43BC" w:rsidP="00C70833">
            <w:pPr>
              <w:spacing w:after="0" w:line="240" w:lineRule="auto"/>
              <w:jc w:val="both"/>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752"/>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XXVIII </w:t>
            </w:r>
            <w:r w:rsidRPr="002D43BC">
              <w:rPr>
                <w:rFonts w:eastAsia="Times New Roman" w:cs="Times New Roman"/>
                <w:i/>
                <w:iCs/>
                <w:sz w:val="18"/>
                <w:szCs w:val="18"/>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2C33D9">
            <w:pPr>
              <w:spacing w:after="0" w:line="240" w:lineRule="auto"/>
              <w:rPr>
                <w:rFonts w:eastAsia="Times New Roman" w:cs="Times New Roman"/>
                <w:sz w:val="18"/>
                <w:szCs w:val="18"/>
                <w:lang w:eastAsia="es-MX"/>
              </w:rPr>
            </w:pP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45"/>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XXIX </w:t>
            </w:r>
            <w:r w:rsidRPr="002D43BC">
              <w:rPr>
                <w:rFonts w:eastAsia="Times New Roman" w:cs="Times New Roman"/>
                <w:i/>
                <w:iCs/>
                <w:sz w:val="18"/>
                <w:szCs w:val="18"/>
                <w:lang w:eastAsia="es-MX"/>
              </w:rPr>
              <w:t xml:space="preserve">Los informes que por disposición legal generen los sujetos obligados; </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Planeación y Vinculación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498"/>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 </w:t>
            </w:r>
            <w:r w:rsidRPr="002D43BC">
              <w:rPr>
                <w:rFonts w:eastAsia="Times New Roman" w:cs="Times New Roman"/>
                <w:i/>
                <w:iCs/>
                <w:sz w:val="18"/>
                <w:szCs w:val="18"/>
                <w:lang w:eastAsia="es-MX"/>
              </w:rPr>
              <w:t>Las estadísticas que generen en cumplimiento de sus facultades, competencias o funciones con la mayor desagregación posible;</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2C33D9">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Planeación, Programación y Evaluación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5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XXXI </w:t>
            </w:r>
            <w:r w:rsidRPr="002D43BC">
              <w:rPr>
                <w:rFonts w:eastAsia="Times New Roman" w:cs="Times New Roman"/>
                <w:i/>
                <w:iCs/>
                <w:sz w:val="18"/>
                <w:szCs w:val="18"/>
                <w:lang w:eastAsia="es-MX"/>
              </w:rPr>
              <w:t>Informe de avances programáticos o presupuestales, balances generales y su estado financiero;</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Planeación, Programación y Evaluación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844"/>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XXXII </w:t>
            </w:r>
            <w:r w:rsidRPr="002D43BC">
              <w:rPr>
                <w:rFonts w:eastAsia="Times New Roman" w:cs="Times New Roman"/>
                <w:i/>
                <w:iCs/>
                <w:sz w:val="18"/>
                <w:szCs w:val="18"/>
                <w:lang w:eastAsia="es-MX"/>
              </w:rPr>
              <w:t>Padrón de proveedores y contratistas;</w:t>
            </w:r>
          </w:p>
        </w:tc>
        <w:tc>
          <w:tcPr>
            <w:tcW w:w="1438" w:type="dxa"/>
            <w:tcBorders>
              <w:top w:val="nil"/>
              <w:left w:val="nil"/>
              <w:bottom w:val="single" w:sz="4" w:space="0" w:color="auto"/>
              <w:right w:val="single" w:sz="4" w:space="0" w:color="auto"/>
            </w:tcBorders>
            <w:shd w:val="clear" w:color="auto" w:fill="auto"/>
            <w:noWrap/>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Materiales y Servicios Generales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77"/>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XXXIII </w:t>
            </w:r>
            <w:r w:rsidRPr="002D43BC">
              <w:rPr>
                <w:rFonts w:eastAsia="Times New Roman" w:cs="Times New Roman"/>
                <w:i/>
                <w:iCs/>
                <w:sz w:val="18"/>
                <w:szCs w:val="18"/>
                <w:lang w:eastAsia="es-MX"/>
              </w:rPr>
              <w:t>Los convenios de coordinación de concertación con los sectores social y privado;</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Vinculación y Extensión</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201"/>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XXXIV </w:t>
            </w:r>
            <w:r w:rsidRPr="002D43BC">
              <w:rPr>
                <w:rFonts w:eastAsia="Times New Roman" w:cs="Times New Roman"/>
                <w:i/>
                <w:iCs/>
                <w:sz w:val="18"/>
                <w:szCs w:val="18"/>
                <w:lang w:eastAsia="es-MX"/>
              </w:rPr>
              <w:t>El inventario de bienes muebles e inmuebles en posesión y propiedad;</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Materiales y Servicios Generales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01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XXXV </w:t>
            </w:r>
            <w:r w:rsidRPr="002D43BC">
              <w:rPr>
                <w:rFonts w:eastAsia="Times New Roman" w:cs="Times New Roman"/>
                <w:i/>
                <w:iCs/>
                <w:sz w:val="18"/>
                <w:szCs w:val="18"/>
                <w:lang w:eastAsia="es-MX"/>
              </w:rPr>
              <w:t>Las recomendaciones emitidas por los órganos públicos del Estado mexicano u organismos internacionales garantes de los derechos humanos, así como las acciones que han llevado a cabo para su atención;</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48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XXXVI </w:t>
            </w:r>
            <w:r w:rsidRPr="002D43BC">
              <w:rPr>
                <w:rFonts w:eastAsia="Times New Roman" w:cs="Times New Roman"/>
                <w:i/>
                <w:iCs/>
                <w:sz w:val="18"/>
                <w:szCs w:val="18"/>
                <w:lang w:eastAsia="es-MX"/>
              </w:rPr>
              <w:t>Las resoluciones y laudos que se emitan en procesos o procedimientos seguidos en forma de juicio;</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nil"/>
              <w:left w:val="single" w:sz="4" w:space="0" w:color="auto"/>
              <w:bottom w:val="single" w:sz="4" w:space="0" w:color="auto"/>
              <w:right w:val="single" w:sz="4" w:space="0" w:color="auto"/>
            </w:tcBorders>
          </w:tcPr>
          <w:p w:rsidR="002D43BC" w:rsidRPr="002D43BC" w:rsidRDefault="002D43BC" w:rsidP="002C33D9">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99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XXXVII </w:t>
            </w:r>
            <w:r w:rsidRPr="002D43BC">
              <w:rPr>
                <w:rFonts w:eastAsia="Times New Roman" w:cs="Times New Roman"/>
                <w:i/>
                <w:iCs/>
                <w:sz w:val="18"/>
                <w:szCs w:val="18"/>
                <w:lang w:eastAsia="es-MX"/>
              </w:rPr>
              <w:t>Los mecanismos de participación ciudadana;</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86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XXXVIII </w:t>
            </w:r>
            <w:r w:rsidRPr="002D43BC">
              <w:rPr>
                <w:rFonts w:eastAsia="Times New Roman" w:cs="Times New Roman"/>
                <w:i/>
                <w:iCs/>
                <w:sz w:val="18"/>
                <w:szCs w:val="18"/>
                <w:lang w:eastAsia="es-MX"/>
              </w:rPr>
              <w:t>Los programas que ofrecen, incluyendo información sobre la población, objetivo y destino, así como los trámites, tiempos de respuesta, requisitos y formatos para acceder a los mismos;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2C33D9">
            <w:pPr>
              <w:spacing w:after="0" w:line="240" w:lineRule="auto"/>
              <w:rPr>
                <w:rFonts w:eastAsia="Times New Roman" w:cs="Times New Roman"/>
                <w:sz w:val="18"/>
                <w:szCs w:val="18"/>
                <w:lang w:eastAsia="es-MX"/>
              </w:rPr>
            </w:pP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09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XXXIX </w:t>
            </w:r>
            <w:r w:rsidRPr="002D43BC">
              <w:rPr>
                <w:rFonts w:eastAsia="Times New Roman" w:cs="Times New Roman"/>
                <w:i/>
                <w:iCs/>
                <w:sz w:val="18"/>
                <w:szCs w:val="18"/>
                <w:lang w:eastAsia="es-MX"/>
              </w:rPr>
              <w:t>Las actas y resoluciones del Comité de Transparencia de los sujetos obligados;</w:t>
            </w:r>
          </w:p>
        </w:tc>
        <w:tc>
          <w:tcPr>
            <w:tcW w:w="1438" w:type="dxa"/>
            <w:tcBorders>
              <w:top w:val="nil"/>
              <w:left w:val="nil"/>
              <w:bottom w:val="nil"/>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nil"/>
              <w:left w:val="nil"/>
              <w:bottom w:val="nil"/>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Comité de Transparencia del ITSTE</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481"/>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3909AD">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 </w:t>
            </w:r>
            <w:r w:rsidRPr="002D43BC">
              <w:rPr>
                <w:rFonts w:eastAsia="Times New Roman" w:cs="Times New Roman"/>
                <w:i/>
                <w:iCs/>
                <w:sz w:val="18"/>
                <w:szCs w:val="18"/>
                <w:lang w:eastAsia="es-MX"/>
              </w:rPr>
              <w:t>Todas las evaluaciones y encuestas que hagan los sujetos obligados a programas financiados con recursos públicos;</w:t>
            </w:r>
          </w:p>
        </w:tc>
        <w:tc>
          <w:tcPr>
            <w:tcW w:w="143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No 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7B1237">
            <w:pPr>
              <w:pStyle w:val="ecxmsonormal"/>
              <w:spacing w:before="0" w:beforeAutospacing="0" w:after="0" w:afterAutospacing="0"/>
              <w:jc w:val="both"/>
              <w:rPr>
                <w:rFonts w:ascii="Arial" w:hAnsi="Arial" w:cs="Arial"/>
                <w:sz w:val="20"/>
                <w:szCs w:val="20"/>
              </w:rPr>
            </w:pPr>
            <w:r w:rsidRPr="002D43BC">
              <w:rPr>
                <w:sz w:val="18"/>
                <w:szCs w:val="18"/>
              </w:rPr>
              <w:t xml:space="preserve">El Instituto Tecnológico Superior de </w:t>
            </w:r>
            <w:proofErr w:type="spellStart"/>
            <w:r w:rsidRPr="002D43BC">
              <w:rPr>
                <w:sz w:val="18"/>
                <w:szCs w:val="18"/>
              </w:rPr>
              <w:t>Teposcolula</w:t>
            </w:r>
            <w:proofErr w:type="spellEnd"/>
            <w:r w:rsidRPr="002D43BC">
              <w:rPr>
                <w:sz w:val="18"/>
                <w:szCs w:val="18"/>
              </w:rPr>
              <w:t xml:space="preserve"> no </w:t>
            </w:r>
            <w:proofErr w:type="spellStart"/>
            <w:r w:rsidRPr="002D43BC">
              <w:rPr>
                <w:sz w:val="18"/>
                <w:szCs w:val="18"/>
              </w:rPr>
              <w:t>esta</w:t>
            </w:r>
            <w:proofErr w:type="spellEnd"/>
            <w:r w:rsidRPr="002D43BC">
              <w:rPr>
                <w:sz w:val="18"/>
                <w:szCs w:val="18"/>
              </w:rPr>
              <w:t xml:space="preserve"> facultado para realizar encuestas de programas financiados con recursos públicos toda vez que sus fines son:</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16"/>
                <w:szCs w:val="16"/>
              </w:rPr>
            </w:pPr>
            <w:r w:rsidRPr="002D43BC">
              <w:rPr>
                <w:rFonts w:ascii="Arial" w:hAnsi="Arial" w:cs="Arial"/>
                <w:sz w:val="16"/>
                <w:szCs w:val="16"/>
              </w:rPr>
              <w:t>Impartir estudios de educación superior, para formar profesionales, investigadores y profesores altamente capacitados, organizar cursos de capacitación y especialización en sus diversas modalidades;</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16"/>
                <w:szCs w:val="16"/>
              </w:rPr>
            </w:pPr>
            <w:r w:rsidRPr="002D43BC">
              <w:rPr>
                <w:rFonts w:ascii="Arial" w:hAnsi="Arial" w:cs="Arial"/>
                <w:sz w:val="16"/>
                <w:szCs w:val="16"/>
              </w:rPr>
              <w:t xml:space="preserve">Contribuir, mediante el desarrollo de la investigación y de la educación superior, a la independencia económica, científica, tecnológica y cultural del Estado y del país; creando condiciones que propicien un adecuado desarrollo social, con base en los principios de la Constitución Política de los </w:t>
            </w:r>
            <w:r w:rsidRPr="002D43BC">
              <w:rPr>
                <w:rFonts w:ascii="Arial" w:hAnsi="Arial" w:cs="Arial"/>
                <w:sz w:val="16"/>
                <w:szCs w:val="16"/>
              </w:rPr>
              <w:lastRenderedPageBreak/>
              <w:t>Estados Unidos Mexicanos y demás disposiciones en la materia;</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16"/>
                <w:szCs w:val="16"/>
              </w:rPr>
            </w:pPr>
            <w:r w:rsidRPr="002D43BC">
              <w:rPr>
                <w:rFonts w:ascii="Arial" w:hAnsi="Arial" w:cs="Arial"/>
                <w:sz w:val="16"/>
                <w:szCs w:val="16"/>
              </w:rPr>
              <w:t>Realizar investigación científicas, humanistas y tecnológicas, adecuadas principalmente a los problemas del Estado y del país;</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16"/>
                <w:szCs w:val="16"/>
              </w:rPr>
            </w:pPr>
            <w:r w:rsidRPr="002D43BC">
              <w:rPr>
                <w:rFonts w:ascii="Arial" w:hAnsi="Arial" w:cs="Arial"/>
                <w:sz w:val="16"/>
                <w:szCs w:val="16"/>
              </w:rPr>
              <w:t>Desarrollar en los jóvenes las vocaciones científicas y tecnológicas a través de actividades en las que se difundan los conocimientos científicos;</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16"/>
                <w:szCs w:val="16"/>
              </w:rPr>
            </w:pPr>
            <w:r w:rsidRPr="002D43BC">
              <w:rPr>
                <w:rFonts w:ascii="Arial" w:hAnsi="Arial" w:cs="Arial"/>
                <w:sz w:val="16"/>
                <w:szCs w:val="16"/>
              </w:rPr>
              <w:t>Programar y promover las actividades culturales, recreativas y deportivas que coadyuven al desarrollo armónico de la personalidad del educando, así como aquellas que fortalezcan el conocimiento de la cultura regional y de interés para la sociedad en general;</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16"/>
                <w:szCs w:val="16"/>
              </w:rPr>
            </w:pPr>
            <w:r w:rsidRPr="002D43BC">
              <w:rPr>
                <w:rFonts w:ascii="Arial" w:hAnsi="Arial" w:cs="Arial"/>
                <w:sz w:val="16"/>
                <w:szCs w:val="16"/>
              </w:rPr>
              <w:t>Promover, difundir y concientizar a la sociedad de la necesidad de observar una cultura de explotación racional y aprovechamiento sustentable de los recursos naturales que ofrece nuestro estado, para su desarrollo social y cultural y que contribuirá sin duda alguna a la preservación humana y ambiental;</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16"/>
                <w:szCs w:val="16"/>
              </w:rPr>
            </w:pPr>
            <w:r w:rsidRPr="002D43BC">
              <w:rPr>
                <w:rFonts w:ascii="Arial" w:hAnsi="Arial" w:cs="Arial"/>
                <w:sz w:val="16"/>
                <w:szCs w:val="16"/>
              </w:rPr>
              <w:t>Fomentar los principios de respeto a la dignidad humana, dentro de un marco de paz, justicia, libertad y solidaridad social;</w:t>
            </w:r>
          </w:p>
          <w:p w:rsidR="002D43BC" w:rsidRPr="002D43BC" w:rsidRDefault="002D43BC" w:rsidP="00B073AF">
            <w:pPr>
              <w:pStyle w:val="ecxmsonormal"/>
              <w:numPr>
                <w:ilvl w:val="0"/>
                <w:numId w:val="3"/>
              </w:numPr>
              <w:spacing w:before="0" w:beforeAutospacing="0" w:after="0" w:afterAutospacing="0"/>
              <w:ind w:left="292" w:hanging="292"/>
              <w:jc w:val="both"/>
              <w:rPr>
                <w:rFonts w:ascii="Arial" w:hAnsi="Arial" w:cs="Arial"/>
                <w:sz w:val="20"/>
                <w:szCs w:val="20"/>
              </w:rPr>
            </w:pPr>
            <w:r w:rsidRPr="002D43BC">
              <w:rPr>
                <w:rFonts w:ascii="Arial" w:hAnsi="Arial" w:cs="Arial"/>
                <w:sz w:val="16"/>
                <w:szCs w:val="16"/>
              </w:rPr>
              <w:t>Las demás que acuerde la Junta Directiva</w:t>
            </w:r>
            <w:r w:rsidRPr="002D43BC">
              <w:rPr>
                <w:rFonts w:ascii="Arial" w:hAnsi="Arial" w:cs="Arial"/>
                <w:sz w:val="20"/>
                <w:szCs w:val="20"/>
              </w:rPr>
              <w:t>. </w:t>
            </w:r>
          </w:p>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lastRenderedPageBreak/>
              <w:t>Artículo 2 del Decreto de creación del ITSTE</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Servicios Administrativos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highlight w:val="yellow"/>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623"/>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3909AD">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XLI </w:t>
            </w:r>
            <w:r w:rsidRPr="002D43BC">
              <w:rPr>
                <w:rFonts w:eastAsia="Times New Roman" w:cs="Times New Roman"/>
                <w:i/>
                <w:iCs/>
                <w:sz w:val="18"/>
                <w:szCs w:val="18"/>
                <w:lang w:eastAsia="es-MX"/>
              </w:rPr>
              <w:t>Los estudios financiados con recursos públicos;</w:t>
            </w:r>
          </w:p>
        </w:tc>
        <w:tc>
          <w:tcPr>
            <w:tcW w:w="1438" w:type="dxa"/>
            <w:tcBorders>
              <w:top w:val="nil"/>
              <w:left w:val="nil"/>
              <w:bottom w:val="single" w:sz="4" w:space="0" w:color="auto"/>
              <w:right w:val="single" w:sz="4" w:space="0" w:color="auto"/>
            </w:tcBorders>
            <w:shd w:val="clear" w:color="auto" w:fill="auto"/>
            <w:vAlign w:val="center"/>
          </w:tcPr>
          <w:p w:rsidR="002D43BC" w:rsidRPr="002D43BC" w:rsidRDefault="002D43BC" w:rsidP="00766D33">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766D33">
            <w:pPr>
              <w:pStyle w:val="ecxmsonormal"/>
              <w:spacing w:before="0" w:beforeAutospacing="0" w:after="0" w:afterAutospacing="0"/>
              <w:jc w:val="both"/>
              <w:rPr>
                <w:sz w:val="18"/>
                <w:szCs w:val="18"/>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Servicios Administrativos</w:t>
            </w:r>
          </w:p>
        </w:tc>
        <w:tc>
          <w:tcPr>
            <w:tcW w:w="1678" w:type="dxa"/>
            <w:tcBorders>
              <w:top w:val="nil"/>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702"/>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3909AD">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w:t>
            </w:r>
          </w:p>
        </w:tc>
        <w:tc>
          <w:tcPr>
            <w:tcW w:w="3196" w:type="dxa"/>
            <w:tcBorders>
              <w:top w:val="single" w:sz="4" w:space="0" w:color="auto"/>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XLII </w:t>
            </w:r>
            <w:r w:rsidRPr="002D43BC">
              <w:rPr>
                <w:rFonts w:eastAsia="Times New Roman" w:cs="Times New Roman"/>
                <w:i/>
                <w:iCs/>
                <w:sz w:val="18"/>
                <w:szCs w:val="18"/>
                <w:lang w:eastAsia="es-MX"/>
              </w:rPr>
              <w:t>El listado de jubilados y pensionados y el monto que reciben;</w:t>
            </w:r>
          </w:p>
        </w:tc>
        <w:tc>
          <w:tcPr>
            <w:tcW w:w="143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 xml:space="preserve"> aplica</w:t>
            </w:r>
          </w:p>
        </w:tc>
        <w:tc>
          <w:tcPr>
            <w:tcW w:w="237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Humanos</w:t>
            </w:r>
          </w:p>
        </w:tc>
        <w:tc>
          <w:tcPr>
            <w:tcW w:w="1678" w:type="dxa"/>
            <w:tcBorders>
              <w:top w:val="single" w:sz="4" w:space="0" w:color="auto"/>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No tenemos en la actualidad</w:t>
            </w:r>
          </w:p>
        </w:tc>
        <w:tc>
          <w:tcPr>
            <w:tcW w:w="1257" w:type="dxa"/>
            <w:tcBorders>
              <w:top w:val="single" w:sz="4" w:space="0" w:color="auto"/>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86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3909AD">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w:t>
            </w:r>
          </w:p>
        </w:tc>
        <w:tc>
          <w:tcPr>
            <w:tcW w:w="3196" w:type="dxa"/>
            <w:tcBorders>
              <w:top w:val="single" w:sz="4" w:space="0" w:color="auto"/>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XLIII </w:t>
            </w:r>
            <w:r w:rsidRPr="002D43BC">
              <w:rPr>
                <w:rFonts w:eastAsia="Times New Roman" w:cs="Times New Roman"/>
                <w:i/>
                <w:iCs/>
                <w:sz w:val="18"/>
                <w:szCs w:val="18"/>
                <w:lang w:eastAsia="es-MX"/>
              </w:rPr>
              <w:t>Los ingresos recibidos por cualquier concepto señalando el nombre de los responsables de recibirlos, administrarlos y ejercerlos, así como su destino, indicando el destino de cada uno de ellos;</w:t>
            </w:r>
          </w:p>
        </w:tc>
        <w:tc>
          <w:tcPr>
            <w:tcW w:w="1438" w:type="dxa"/>
            <w:tcBorders>
              <w:top w:val="single" w:sz="4" w:space="0" w:color="auto"/>
              <w:left w:val="nil"/>
              <w:bottom w:val="nil"/>
              <w:right w:val="single" w:sz="4" w:space="0" w:color="auto"/>
            </w:tcBorders>
            <w:shd w:val="clear" w:color="auto" w:fill="auto"/>
            <w:vAlign w:val="center"/>
          </w:tcPr>
          <w:p w:rsidR="002D43BC" w:rsidRPr="002D43BC" w:rsidRDefault="002D43BC" w:rsidP="00730A8C">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b/>
                <w:i/>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Recursos Financieros</w:t>
            </w:r>
          </w:p>
        </w:tc>
        <w:tc>
          <w:tcPr>
            <w:tcW w:w="1678" w:type="dxa"/>
            <w:tcBorders>
              <w:top w:val="single" w:sz="4" w:space="0" w:color="auto"/>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single" w:sz="4" w:space="0" w:color="auto"/>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651"/>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3909AD">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w:t>
            </w:r>
          </w:p>
        </w:tc>
        <w:tc>
          <w:tcPr>
            <w:tcW w:w="3196" w:type="dxa"/>
            <w:tcBorders>
              <w:top w:val="nil"/>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XLIV </w:t>
            </w:r>
            <w:r w:rsidRPr="002D43BC">
              <w:rPr>
                <w:rFonts w:eastAsia="Times New Roman" w:cs="Times New Roman"/>
                <w:i/>
                <w:iCs/>
                <w:sz w:val="18"/>
                <w:szCs w:val="18"/>
                <w:lang w:eastAsia="es-MX"/>
              </w:rPr>
              <w:t>Donaciones hechas a terceros en dinero o en especie;</w:t>
            </w:r>
          </w:p>
        </w:tc>
        <w:tc>
          <w:tcPr>
            <w:tcW w:w="143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48630C">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nil"/>
              <w:left w:val="nil"/>
              <w:bottom w:val="single" w:sz="4" w:space="0" w:color="auto"/>
              <w:right w:val="single" w:sz="4" w:space="0" w:color="auto"/>
            </w:tcBorders>
            <w:shd w:val="clear" w:color="auto" w:fill="auto"/>
            <w:vAlign w:val="center"/>
          </w:tcPr>
          <w:p w:rsidR="002D43BC" w:rsidRPr="002D43BC" w:rsidRDefault="002D43BC" w:rsidP="0048630C">
            <w:pPr>
              <w:pStyle w:val="ecxmsonormal"/>
              <w:spacing w:before="0" w:beforeAutospacing="0" w:after="0" w:afterAutospacing="0"/>
              <w:jc w:val="both"/>
              <w:rPr>
                <w:sz w:val="18"/>
                <w:szCs w:val="18"/>
              </w:rPr>
            </w:pPr>
          </w:p>
        </w:tc>
        <w:tc>
          <w:tcPr>
            <w:tcW w:w="1492" w:type="dxa"/>
            <w:tcBorders>
              <w:top w:val="nil"/>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Servicios Administrativos</w:t>
            </w:r>
          </w:p>
        </w:tc>
        <w:tc>
          <w:tcPr>
            <w:tcW w:w="1678" w:type="dxa"/>
            <w:tcBorders>
              <w:top w:val="nil"/>
              <w:left w:val="single" w:sz="4" w:space="0" w:color="auto"/>
              <w:bottom w:val="single" w:sz="4" w:space="0" w:color="auto"/>
              <w:right w:val="single" w:sz="4" w:space="0" w:color="auto"/>
            </w:tcBorders>
          </w:tcPr>
          <w:p w:rsidR="002D43BC" w:rsidRPr="002D43BC" w:rsidRDefault="002D43BC" w:rsidP="004F458B">
            <w:pPr>
              <w:spacing w:after="0" w:line="240" w:lineRule="auto"/>
              <w:jc w:val="both"/>
              <w:rPr>
                <w:rFonts w:eastAsia="Times New Roman" w:cs="Times New Roman"/>
                <w:sz w:val="18"/>
                <w:szCs w:val="18"/>
                <w:lang w:eastAsia="es-MX"/>
              </w:rPr>
            </w:pPr>
            <w:r w:rsidRPr="002D43BC">
              <w:rPr>
                <w:rFonts w:eastAsia="Times New Roman" w:cs="Times New Roman"/>
                <w:sz w:val="18"/>
                <w:szCs w:val="18"/>
                <w:lang w:eastAsia="es-MX"/>
              </w:rPr>
              <w:t>Es aplicable en términos de lo establecido en los Artículos 2 fracción XX Y 76 de la Ley Estatal de Presupuesto y Responsabilidad Hacendaria</w:t>
            </w:r>
          </w:p>
        </w:tc>
        <w:tc>
          <w:tcPr>
            <w:tcW w:w="1257" w:type="dxa"/>
            <w:tcBorders>
              <w:top w:val="nil"/>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732"/>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3909AD">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t>…</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XLV </w:t>
            </w:r>
            <w:r w:rsidRPr="002D43BC">
              <w:rPr>
                <w:rFonts w:eastAsia="Times New Roman" w:cs="Times New Roman"/>
                <w:i/>
                <w:iCs/>
                <w:sz w:val="18"/>
                <w:szCs w:val="18"/>
                <w:lang w:eastAsia="es-MX"/>
              </w:rPr>
              <w:t>El catálogo de disposición y guía de archivo documental;</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single" w:sz="4" w:space="0" w:color="auto"/>
              <w:bottom w:val="single" w:sz="4" w:space="0" w:color="auto"/>
              <w:right w:val="single" w:sz="4" w:space="0" w:color="auto"/>
            </w:tcBorders>
            <w:vAlign w:val="center"/>
          </w:tcPr>
          <w:p w:rsidR="002D43BC" w:rsidRPr="002D43BC" w:rsidRDefault="002D43BC" w:rsidP="00DE2A64">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Cada una de las Áreas administrativas del ITSTE</w:t>
            </w:r>
          </w:p>
        </w:tc>
        <w:tc>
          <w:tcPr>
            <w:tcW w:w="1678" w:type="dxa"/>
            <w:tcBorders>
              <w:top w:val="single" w:sz="4" w:space="0" w:color="auto"/>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single" w:sz="4" w:space="0" w:color="auto"/>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375"/>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single" w:sz="4" w:space="0" w:color="auto"/>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XLVI </w:t>
            </w:r>
            <w:r w:rsidRPr="002D43BC">
              <w:rPr>
                <w:rFonts w:eastAsia="Times New Roman" w:cs="Times New Roman"/>
                <w:i/>
                <w:iCs/>
                <w:sz w:val="18"/>
                <w:szCs w:val="18"/>
                <w:lang w:eastAsia="es-MX"/>
              </w:rPr>
              <w:t>Las actas de sesiones ordinarias y extraordinarias, así como las opiniones y recomendaciones que emitan, en su caso, los consejos consultivos;</w:t>
            </w:r>
          </w:p>
        </w:tc>
        <w:tc>
          <w:tcPr>
            <w:tcW w:w="143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ascii="Calibri" w:eastAsia="Times New Roman" w:hAnsi="Calibri" w:cs="Times New Roman"/>
                <w:bCs/>
                <w:sz w:val="18"/>
                <w:szCs w:val="18"/>
                <w:lang w:eastAsia="es-MX"/>
              </w:rPr>
              <w:t>Art. 4, 5 y 7 del Decreto de Creación de fecha 30 de enero de 2010 a través del Periódico Oficial de Gobierno del Estado</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Subdirección de Planeación y Vinculación</w:t>
            </w:r>
          </w:p>
        </w:tc>
        <w:tc>
          <w:tcPr>
            <w:tcW w:w="1678" w:type="dxa"/>
            <w:tcBorders>
              <w:top w:val="single" w:sz="4" w:space="0" w:color="auto"/>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single" w:sz="4" w:space="0" w:color="auto"/>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201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single" w:sz="4" w:space="0" w:color="auto"/>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Arial"/>
                <w:b/>
                <w:bCs/>
                <w:i/>
                <w:iCs/>
                <w:sz w:val="18"/>
                <w:szCs w:val="18"/>
                <w:lang w:eastAsia="es-MX"/>
              </w:rPr>
              <w:t xml:space="preserve">Fracción XLVII </w:t>
            </w:r>
            <w:r w:rsidRPr="002D43BC">
              <w:rPr>
                <w:rFonts w:eastAsia="Times New Roman" w:cs="Arial"/>
                <w:i/>
                <w:iCs/>
                <w:sz w:val="18"/>
                <w:szCs w:val="18"/>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143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No aplica</w:t>
            </w:r>
          </w:p>
        </w:tc>
        <w:tc>
          <w:tcPr>
            <w:tcW w:w="237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 xml:space="preserve">No es facultad del Instituto Tecnológico Superior de </w:t>
            </w:r>
            <w:proofErr w:type="spellStart"/>
            <w:r w:rsidRPr="002D43BC">
              <w:rPr>
                <w:rFonts w:eastAsia="Times New Roman" w:cs="Times New Roman"/>
                <w:sz w:val="18"/>
                <w:szCs w:val="18"/>
                <w:lang w:eastAsia="es-MX"/>
              </w:rPr>
              <w:t>Teposcolula</w:t>
            </w:r>
            <w:proofErr w:type="spellEnd"/>
            <w:r w:rsidRPr="002D43BC">
              <w:rPr>
                <w:rFonts w:eastAsia="Times New Roman" w:cs="Times New Roman"/>
                <w:sz w:val="18"/>
                <w:szCs w:val="18"/>
                <w:lang w:eastAsia="es-MX"/>
              </w:rPr>
              <w:t xml:space="preserve"> toda vez que sus fines son:</w:t>
            </w:r>
          </w:p>
          <w:p w:rsidR="002D43BC" w:rsidRPr="002D43BC" w:rsidRDefault="002D43BC" w:rsidP="00B76F94">
            <w:pPr>
              <w:pStyle w:val="ecxmsonormal"/>
              <w:spacing w:before="0" w:beforeAutospacing="0" w:after="0" w:afterAutospacing="0"/>
              <w:jc w:val="both"/>
              <w:rPr>
                <w:rFonts w:ascii="Arial" w:hAnsi="Arial" w:cs="Arial"/>
                <w:sz w:val="20"/>
                <w:szCs w:val="20"/>
              </w:rPr>
            </w:pPr>
          </w:p>
          <w:p w:rsidR="002D43BC" w:rsidRPr="002D43BC" w:rsidRDefault="002D43BC" w:rsidP="00B76F94">
            <w:pPr>
              <w:pStyle w:val="ecxmsonormal"/>
              <w:numPr>
                <w:ilvl w:val="0"/>
                <w:numId w:val="5"/>
              </w:numPr>
              <w:spacing w:before="0" w:beforeAutospacing="0" w:after="0" w:afterAutospacing="0"/>
              <w:jc w:val="both"/>
              <w:rPr>
                <w:rFonts w:ascii="Arial" w:hAnsi="Arial" w:cs="Arial"/>
                <w:sz w:val="20"/>
                <w:szCs w:val="20"/>
              </w:rPr>
            </w:pPr>
            <w:r w:rsidRPr="002D43BC">
              <w:rPr>
                <w:rFonts w:ascii="Arial" w:hAnsi="Arial" w:cs="Arial"/>
                <w:sz w:val="20"/>
                <w:szCs w:val="20"/>
              </w:rPr>
              <w:t>Impartir estudios de educación superior, para formar profesionales, investigadores y profesores altamente capacitados, organizar cursos de capacitación y especialización en sus diversas modalidades;</w:t>
            </w:r>
          </w:p>
          <w:p w:rsidR="002D43BC" w:rsidRPr="002D43BC" w:rsidRDefault="002D43BC" w:rsidP="00B76F94">
            <w:pPr>
              <w:pStyle w:val="ecxmsonormal"/>
              <w:numPr>
                <w:ilvl w:val="0"/>
                <w:numId w:val="5"/>
              </w:numPr>
              <w:spacing w:before="0" w:beforeAutospacing="0" w:after="0" w:afterAutospacing="0"/>
              <w:jc w:val="both"/>
              <w:rPr>
                <w:rFonts w:ascii="Arial" w:hAnsi="Arial" w:cs="Arial"/>
                <w:sz w:val="20"/>
                <w:szCs w:val="20"/>
              </w:rPr>
            </w:pPr>
            <w:r w:rsidRPr="002D43BC">
              <w:rPr>
                <w:rFonts w:ascii="Arial" w:hAnsi="Arial" w:cs="Arial"/>
                <w:sz w:val="20"/>
                <w:szCs w:val="20"/>
              </w:rPr>
              <w:t xml:space="preserve">Contribuir, mediante el desarrollo de la investigación y de la educación superior, a la independencia económica, científica, tecnológica y cultural del Estado y del </w:t>
            </w:r>
            <w:r w:rsidRPr="002D43BC">
              <w:rPr>
                <w:rFonts w:ascii="Arial" w:hAnsi="Arial" w:cs="Arial"/>
                <w:sz w:val="20"/>
                <w:szCs w:val="20"/>
              </w:rPr>
              <w:lastRenderedPageBreak/>
              <w:t>país; creando condiciones que propicien un adecuado desarrollo social, con base en los principios de la Constitución Política de los Estados Unidos Mexicanos y demás disposiciones en la materia;</w:t>
            </w:r>
          </w:p>
          <w:p w:rsidR="002D43BC" w:rsidRPr="002D43BC" w:rsidRDefault="002D43BC" w:rsidP="00B76F94">
            <w:pPr>
              <w:pStyle w:val="ecxmsonormal"/>
              <w:numPr>
                <w:ilvl w:val="0"/>
                <w:numId w:val="5"/>
              </w:numPr>
              <w:spacing w:before="0" w:beforeAutospacing="0" w:after="0" w:afterAutospacing="0"/>
              <w:jc w:val="both"/>
              <w:rPr>
                <w:rFonts w:ascii="Arial" w:hAnsi="Arial" w:cs="Arial"/>
                <w:sz w:val="20"/>
                <w:szCs w:val="20"/>
              </w:rPr>
            </w:pPr>
            <w:r w:rsidRPr="002D43BC">
              <w:rPr>
                <w:rFonts w:ascii="Arial" w:hAnsi="Arial" w:cs="Arial"/>
                <w:sz w:val="20"/>
                <w:szCs w:val="20"/>
              </w:rPr>
              <w:t>Realizar investigación científicas, humanistas y tecnológicas, adecuadas principalmente a los problemas del Estado y del país;</w:t>
            </w:r>
          </w:p>
          <w:p w:rsidR="002D43BC" w:rsidRPr="002D43BC" w:rsidRDefault="002D43BC" w:rsidP="00B76F94">
            <w:pPr>
              <w:pStyle w:val="ecxmsonormal"/>
              <w:numPr>
                <w:ilvl w:val="0"/>
                <w:numId w:val="5"/>
              </w:numPr>
              <w:spacing w:before="0" w:beforeAutospacing="0" w:after="0" w:afterAutospacing="0"/>
              <w:jc w:val="both"/>
              <w:rPr>
                <w:rFonts w:ascii="Arial" w:hAnsi="Arial" w:cs="Arial"/>
                <w:sz w:val="20"/>
                <w:szCs w:val="20"/>
              </w:rPr>
            </w:pPr>
            <w:r w:rsidRPr="002D43BC">
              <w:rPr>
                <w:rFonts w:ascii="Arial" w:hAnsi="Arial" w:cs="Arial"/>
                <w:sz w:val="20"/>
                <w:szCs w:val="20"/>
              </w:rPr>
              <w:t xml:space="preserve">Desarrollar en los jóvenes las vocaciones científicas y tecnológicas a través de actividades </w:t>
            </w:r>
            <w:r w:rsidRPr="002D43BC">
              <w:rPr>
                <w:rFonts w:ascii="Arial" w:hAnsi="Arial" w:cs="Arial"/>
                <w:sz w:val="20"/>
                <w:szCs w:val="20"/>
              </w:rPr>
              <w:lastRenderedPageBreak/>
              <w:t>en las que se difundan los conocimientos científicos;</w:t>
            </w:r>
          </w:p>
          <w:p w:rsidR="002D43BC" w:rsidRPr="002D43BC" w:rsidRDefault="002D43BC" w:rsidP="00B76F94">
            <w:pPr>
              <w:pStyle w:val="ecxmsonormal"/>
              <w:numPr>
                <w:ilvl w:val="0"/>
                <w:numId w:val="5"/>
              </w:numPr>
              <w:spacing w:before="0" w:beforeAutospacing="0" w:after="0" w:afterAutospacing="0"/>
              <w:jc w:val="both"/>
              <w:rPr>
                <w:rFonts w:ascii="Arial" w:hAnsi="Arial" w:cs="Arial"/>
                <w:sz w:val="20"/>
                <w:szCs w:val="20"/>
              </w:rPr>
            </w:pPr>
            <w:r w:rsidRPr="002D43BC">
              <w:rPr>
                <w:rFonts w:ascii="Arial" w:hAnsi="Arial" w:cs="Arial"/>
                <w:sz w:val="20"/>
                <w:szCs w:val="20"/>
              </w:rPr>
              <w:t>Programar y promover las actividades culturales, recreativas y deportivas que coadyuven al desarrollo armónico de la personalidad del educando, así como aquellas que fortalezcan el conocimiento de la cultura regional y de interés para la sociedad en general;</w:t>
            </w:r>
          </w:p>
          <w:p w:rsidR="002D43BC" w:rsidRPr="002D43BC" w:rsidRDefault="002D43BC" w:rsidP="00B76F94">
            <w:pPr>
              <w:pStyle w:val="ecxmsonormal"/>
              <w:numPr>
                <w:ilvl w:val="0"/>
                <w:numId w:val="5"/>
              </w:numPr>
              <w:spacing w:before="0" w:beforeAutospacing="0" w:after="0" w:afterAutospacing="0"/>
              <w:jc w:val="both"/>
              <w:rPr>
                <w:rFonts w:ascii="Arial" w:hAnsi="Arial" w:cs="Arial"/>
                <w:sz w:val="20"/>
                <w:szCs w:val="20"/>
              </w:rPr>
            </w:pPr>
            <w:r w:rsidRPr="002D43BC">
              <w:rPr>
                <w:rFonts w:ascii="Arial" w:hAnsi="Arial" w:cs="Arial"/>
                <w:sz w:val="20"/>
                <w:szCs w:val="20"/>
              </w:rPr>
              <w:t xml:space="preserve">Promover, difundir y concientizar a la sociedad de la necesidad de observar una cultura de </w:t>
            </w:r>
            <w:r w:rsidRPr="002D43BC">
              <w:rPr>
                <w:rFonts w:ascii="Arial" w:hAnsi="Arial" w:cs="Arial"/>
                <w:sz w:val="20"/>
                <w:szCs w:val="20"/>
              </w:rPr>
              <w:lastRenderedPageBreak/>
              <w:t>explotación racional y aprovechamiento sustentable de los recursos naturales que ofrece nuestro estado, para su desarrollo social y cultural y que contribuirá sin duda alguna a la preservación humana y ambiental;</w:t>
            </w:r>
          </w:p>
          <w:p w:rsidR="002D43BC" w:rsidRPr="002D43BC" w:rsidRDefault="002D43BC" w:rsidP="00B76F94">
            <w:pPr>
              <w:pStyle w:val="ecxmsonormal"/>
              <w:numPr>
                <w:ilvl w:val="0"/>
                <w:numId w:val="5"/>
              </w:numPr>
              <w:spacing w:before="0" w:beforeAutospacing="0" w:after="0" w:afterAutospacing="0"/>
              <w:jc w:val="both"/>
              <w:rPr>
                <w:rFonts w:ascii="Arial" w:hAnsi="Arial" w:cs="Arial"/>
                <w:sz w:val="20"/>
                <w:szCs w:val="20"/>
              </w:rPr>
            </w:pPr>
            <w:r w:rsidRPr="002D43BC">
              <w:rPr>
                <w:rFonts w:ascii="Arial" w:hAnsi="Arial" w:cs="Arial"/>
                <w:sz w:val="20"/>
                <w:szCs w:val="20"/>
              </w:rPr>
              <w:t>Fomentar los principios de respeto a la dignidad humana, dentro de un marco de paz, justicia, libertad y solidaridad social;</w:t>
            </w:r>
          </w:p>
          <w:p w:rsidR="002D43BC" w:rsidRPr="002D43BC" w:rsidRDefault="002D43BC" w:rsidP="004F458B">
            <w:pPr>
              <w:pStyle w:val="ecxmsonormal"/>
              <w:numPr>
                <w:ilvl w:val="0"/>
                <w:numId w:val="5"/>
              </w:numPr>
              <w:spacing w:before="0" w:beforeAutospacing="0" w:after="0" w:afterAutospacing="0"/>
              <w:jc w:val="both"/>
              <w:rPr>
                <w:sz w:val="18"/>
                <w:szCs w:val="18"/>
              </w:rPr>
            </w:pPr>
            <w:r w:rsidRPr="002D43BC">
              <w:rPr>
                <w:rFonts w:ascii="Arial" w:hAnsi="Arial" w:cs="Arial"/>
                <w:sz w:val="20"/>
                <w:szCs w:val="20"/>
              </w:rPr>
              <w:t>Las demás que acuerde la Junta Directiva. </w:t>
            </w:r>
          </w:p>
        </w:tc>
        <w:tc>
          <w:tcPr>
            <w:tcW w:w="1492"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lastRenderedPageBreak/>
              <w:t>Artículo 2 del Decreto de creación del ITSTE</w:t>
            </w: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2C33D9">
            <w:pPr>
              <w:spacing w:after="0" w:line="240" w:lineRule="auto"/>
              <w:rPr>
                <w:rFonts w:eastAsia="Times New Roman" w:cs="Times New Roman"/>
                <w:sz w:val="18"/>
                <w:szCs w:val="18"/>
                <w:lang w:eastAsia="es-MX"/>
              </w:rPr>
            </w:pPr>
          </w:p>
        </w:tc>
        <w:tc>
          <w:tcPr>
            <w:tcW w:w="1678" w:type="dxa"/>
            <w:tcBorders>
              <w:top w:val="single" w:sz="4" w:space="0" w:color="auto"/>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single" w:sz="4" w:space="0" w:color="auto"/>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r w:rsidR="002D43BC" w:rsidRPr="002D43BC" w:rsidTr="002D43BC">
        <w:trPr>
          <w:trHeight w:val="1869"/>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3BC" w:rsidRPr="002D43BC" w:rsidRDefault="002D43BC" w:rsidP="00097099">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lastRenderedPageBreak/>
              <w:t>Artículo 70</w:t>
            </w:r>
            <w:r w:rsidRPr="002D43BC">
              <w:rPr>
                <w:rFonts w:eastAsia="Times New Roman" w:cs="Times New Roman"/>
                <w:b/>
                <w:bCs/>
                <w:i/>
                <w:iCs/>
                <w:sz w:val="18"/>
                <w:szCs w:val="18"/>
                <w:lang w:eastAsia="es-MX"/>
              </w:rPr>
              <w:br/>
            </w:r>
            <w:r w:rsidRPr="002D43BC">
              <w:rPr>
                <w:rFonts w:eastAsia="Times New Roman" w:cs="Times New Roman"/>
                <w:i/>
                <w:iCs/>
                <w:sz w:val="18"/>
                <w:szCs w:val="18"/>
                <w:lang w:eastAsia="es-MX"/>
              </w:rPr>
              <w:br/>
              <w:t>…</w:t>
            </w:r>
          </w:p>
        </w:tc>
        <w:tc>
          <w:tcPr>
            <w:tcW w:w="3196" w:type="dxa"/>
            <w:tcBorders>
              <w:top w:val="single" w:sz="4" w:space="0" w:color="auto"/>
              <w:left w:val="nil"/>
              <w:bottom w:val="single" w:sz="4" w:space="0" w:color="auto"/>
              <w:right w:val="single" w:sz="4" w:space="0" w:color="auto"/>
            </w:tcBorders>
            <w:shd w:val="clear" w:color="auto" w:fill="auto"/>
            <w:hideMark/>
          </w:tcPr>
          <w:p w:rsidR="002D43BC" w:rsidRPr="002D43BC" w:rsidRDefault="002D43BC" w:rsidP="00DF2BB3">
            <w:pPr>
              <w:spacing w:after="0" w:line="240" w:lineRule="auto"/>
              <w:rPr>
                <w:rFonts w:eastAsia="Times New Roman" w:cs="Times New Roman"/>
                <w:i/>
                <w:iCs/>
                <w:sz w:val="18"/>
                <w:szCs w:val="18"/>
                <w:lang w:eastAsia="es-MX"/>
              </w:rPr>
            </w:pPr>
            <w:r w:rsidRPr="002D43BC">
              <w:rPr>
                <w:rFonts w:eastAsia="Times New Roman" w:cs="Times New Roman"/>
                <w:b/>
                <w:bCs/>
                <w:i/>
                <w:iCs/>
                <w:sz w:val="18"/>
                <w:szCs w:val="18"/>
                <w:lang w:eastAsia="es-MX"/>
              </w:rPr>
              <w:t xml:space="preserve">Fracción XLVIII </w:t>
            </w:r>
            <w:r w:rsidRPr="002D43BC">
              <w:rPr>
                <w:rFonts w:eastAsia="Times New Roman" w:cs="Times New Roman"/>
                <w:i/>
                <w:iCs/>
                <w:sz w:val="18"/>
                <w:szCs w:val="18"/>
                <w:lang w:eastAsia="es-MX"/>
              </w:rPr>
              <w:t>Cualquier otra información que sea de utilidad o se considere relevante, además de la que, con base en la información estadística, responda a las preguntas hechas con más frecuencia por el público.</w:t>
            </w:r>
          </w:p>
        </w:tc>
        <w:tc>
          <w:tcPr>
            <w:tcW w:w="143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E774C4">
            <w:pPr>
              <w:spacing w:after="0" w:line="240" w:lineRule="auto"/>
              <w:jc w:val="center"/>
              <w:rPr>
                <w:rFonts w:eastAsia="Times New Roman" w:cs="Times New Roman"/>
                <w:sz w:val="18"/>
                <w:szCs w:val="18"/>
                <w:lang w:eastAsia="es-MX"/>
              </w:rPr>
            </w:pPr>
            <w:r w:rsidRPr="002D43BC">
              <w:rPr>
                <w:rFonts w:eastAsia="Times New Roman" w:cs="Times New Roman"/>
                <w:sz w:val="18"/>
                <w:szCs w:val="18"/>
                <w:lang w:eastAsia="es-MX"/>
              </w:rPr>
              <w:t>Aplica</w:t>
            </w:r>
          </w:p>
        </w:tc>
        <w:tc>
          <w:tcPr>
            <w:tcW w:w="2378"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92" w:type="dxa"/>
            <w:tcBorders>
              <w:top w:val="single" w:sz="4" w:space="0" w:color="auto"/>
              <w:left w:val="nil"/>
              <w:bottom w:val="single" w:sz="4" w:space="0" w:color="auto"/>
              <w:right w:val="single" w:sz="4" w:space="0" w:color="auto"/>
            </w:tcBorders>
            <w:shd w:val="clear" w:color="auto" w:fill="auto"/>
            <w:vAlign w:val="center"/>
          </w:tcPr>
          <w:p w:rsidR="002D43BC" w:rsidRPr="002D43BC" w:rsidRDefault="002D43BC" w:rsidP="006939A1">
            <w:pPr>
              <w:spacing w:after="0" w:line="240" w:lineRule="auto"/>
              <w:rPr>
                <w:rFonts w:eastAsia="Times New Roman" w:cs="Times New Roman"/>
                <w:sz w:val="18"/>
                <w:szCs w:val="18"/>
                <w:lang w:eastAsia="es-MX"/>
              </w:rPr>
            </w:pPr>
          </w:p>
        </w:tc>
        <w:tc>
          <w:tcPr>
            <w:tcW w:w="1427" w:type="dxa"/>
            <w:tcBorders>
              <w:top w:val="single" w:sz="4" w:space="0" w:color="auto"/>
              <w:left w:val="nil"/>
              <w:bottom w:val="single" w:sz="4" w:space="0" w:color="auto"/>
              <w:right w:val="single" w:sz="4" w:space="0" w:color="auto"/>
            </w:tcBorders>
            <w:vAlign w:val="center"/>
          </w:tcPr>
          <w:p w:rsidR="002D43BC" w:rsidRPr="002D43BC" w:rsidRDefault="002D43BC" w:rsidP="006939A1">
            <w:pPr>
              <w:spacing w:after="0" w:line="240" w:lineRule="auto"/>
              <w:rPr>
                <w:rFonts w:eastAsia="Times New Roman" w:cs="Times New Roman"/>
                <w:sz w:val="18"/>
                <w:szCs w:val="18"/>
                <w:lang w:eastAsia="es-MX"/>
              </w:rPr>
            </w:pPr>
            <w:r w:rsidRPr="002D43BC">
              <w:rPr>
                <w:rFonts w:eastAsia="Times New Roman" w:cs="Times New Roman"/>
                <w:sz w:val="18"/>
                <w:szCs w:val="18"/>
                <w:lang w:eastAsia="es-MX"/>
              </w:rPr>
              <w:t>Departamento de Servicios Escolares, Departamento de Vinculación y Extensión</w:t>
            </w:r>
          </w:p>
          <w:p w:rsidR="002D43BC" w:rsidRPr="002D43BC" w:rsidRDefault="002D43BC" w:rsidP="006939A1">
            <w:pPr>
              <w:spacing w:after="0" w:line="240" w:lineRule="auto"/>
              <w:rPr>
                <w:rFonts w:eastAsia="Times New Roman" w:cs="Times New Roman"/>
                <w:sz w:val="18"/>
                <w:szCs w:val="18"/>
                <w:lang w:eastAsia="es-MX"/>
              </w:rPr>
            </w:pPr>
          </w:p>
        </w:tc>
        <w:tc>
          <w:tcPr>
            <w:tcW w:w="1678" w:type="dxa"/>
            <w:tcBorders>
              <w:top w:val="single" w:sz="4" w:space="0" w:color="auto"/>
              <w:left w:val="single" w:sz="4" w:space="0" w:color="auto"/>
              <w:bottom w:val="single" w:sz="4" w:space="0" w:color="auto"/>
              <w:right w:val="single" w:sz="4" w:space="0" w:color="auto"/>
            </w:tcBorders>
          </w:tcPr>
          <w:p w:rsidR="002D43BC" w:rsidRPr="002D43BC" w:rsidRDefault="002D43BC" w:rsidP="006939A1">
            <w:pPr>
              <w:spacing w:after="0" w:line="240" w:lineRule="auto"/>
              <w:rPr>
                <w:rFonts w:eastAsia="Times New Roman" w:cs="Times New Roman"/>
                <w:sz w:val="18"/>
                <w:szCs w:val="18"/>
                <w:lang w:eastAsia="es-MX"/>
              </w:rPr>
            </w:pPr>
          </w:p>
        </w:tc>
        <w:tc>
          <w:tcPr>
            <w:tcW w:w="1257" w:type="dxa"/>
            <w:tcBorders>
              <w:top w:val="single" w:sz="4" w:space="0" w:color="auto"/>
              <w:left w:val="single" w:sz="4" w:space="0" w:color="auto"/>
              <w:bottom w:val="single" w:sz="4" w:space="0" w:color="auto"/>
              <w:right w:val="single" w:sz="4" w:space="0" w:color="auto"/>
            </w:tcBorders>
            <w:vAlign w:val="center"/>
          </w:tcPr>
          <w:p w:rsidR="002D43BC" w:rsidRPr="002D43BC" w:rsidRDefault="002D43BC" w:rsidP="002D43BC">
            <w:pPr>
              <w:jc w:val="center"/>
            </w:pPr>
            <w:r w:rsidRPr="002D43BC">
              <w:rPr>
                <w:rFonts w:eastAsia="Times New Roman" w:cs="Times New Roman"/>
                <w:sz w:val="18"/>
                <w:szCs w:val="18"/>
                <w:lang w:eastAsia="es-MX"/>
              </w:rPr>
              <w:t>VALIDADA</w:t>
            </w:r>
          </w:p>
        </w:tc>
      </w:tr>
    </w:tbl>
    <w:p w:rsidR="00D44EFF" w:rsidRPr="002D43BC" w:rsidRDefault="00D44EFF" w:rsidP="00D44EFF">
      <w:pPr>
        <w:pBdr>
          <w:top w:val="nil"/>
          <w:left w:val="nil"/>
          <w:bottom w:val="nil"/>
          <w:right w:val="nil"/>
          <w:between w:val="nil"/>
          <w:bar w:val="nil"/>
        </w:pBdr>
        <w:spacing w:after="0" w:line="240" w:lineRule="auto"/>
        <w:ind w:left="2124" w:firstLine="708"/>
        <w:rPr>
          <w:rFonts w:ascii="Times New Roman" w:eastAsia="Arial Unicode MS" w:hAnsi="Times New Roman" w:cs="Times New Roman"/>
          <w:b/>
          <w:sz w:val="18"/>
          <w:szCs w:val="18"/>
          <w:bdr w:val="nil"/>
          <w:lang w:val="es-ES"/>
        </w:rPr>
      </w:pPr>
    </w:p>
    <w:p w:rsidR="00D44EFF" w:rsidRPr="002D43BC" w:rsidRDefault="00D44EFF" w:rsidP="00D44EFF">
      <w:pPr>
        <w:pBdr>
          <w:top w:val="nil"/>
          <w:left w:val="nil"/>
          <w:bottom w:val="nil"/>
          <w:right w:val="nil"/>
          <w:between w:val="nil"/>
          <w:bar w:val="nil"/>
        </w:pBdr>
        <w:spacing w:after="0" w:line="240" w:lineRule="auto"/>
        <w:ind w:left="2124" w:firstLine="708"/>
        <w:rPr>
          <w:rFonts w:ascii="Times New Roman" w:eastAsia="Arial Unicode MS" w:hAnsi="Times New Roman" w:cs="Times New Roman"/>
          <w:b/>
          <w:sz w:val="18"/>
          <w:szCs w:val="18"/>
          <w:bdr w:val="nil"/>
          <w:lang w:val="es-ES"/>
        </w:rPr>
      </w:pPr>
    </w:p>
    <w:p w:rsidR="002D43BC" w:rsidRDefault="002D43BC" w:rsidP="002D43BC">
      <w:pPr>
        <w:pStyle w:val="CuerpoA"/>
        <w:tabs>
          <w:tab w:val="left" w:pos="216"/>
        </w:tabs>
        <w:spacing w:after="0" w:line="240" w:lineRule="auto"/>
        <w:jc w:val="both"/>
        <w:rPr>
          <w:color w:val="auto"/>
        </w:rPr>
      </w:pPr>
      <w:r>
        <w:rPr>
          <w:color w:val="auto"/>
        </w:rPr>
        <w:t xml:space="preserve">La validación de la  presente  tabla de aplicabilidad es susceptible de ser modificada cuando lo considere viable este Órgano Garante con base a la normatividad en la materia. </w:t>
      </w:r>
    </w:p>
    <w:p w:rsidR="002D43BC" w:rsidRDefault="002D43BC" w:rsidP="002D43BC">
      <w:pPr>
        <w:jc w:val="right"/>
        <w:rPr>
          <w:b/>
          <w:i/>
          <w:sz w:val="18"/>
          <w:szCs w:val="18"/>
        </w:rPr>
      </w:pPr>
      <w:r>
        <w:t xml:space="preserve">Oaxaca de Juárez </w:t>
      </w:r>
      <w:proofErr w:type="spellStart"/>
      <w:r>
        <w:t>Oax</w:t>
      </w:r>
      <w:proofErr w:type="spellEnd"/>
      <w:r>
        <w:t>., dieciocho  de enero  de dos mil diecisiete.</w:t>
      </w:r>
    </w:p>
    <w:p w:rsidR="002D43BC" w:rsidRDefault="002D43BC" w:rsidP="002D43BC">
      <w:pPr>
        <w:jc w:val="center"/>
        <w:rPr>
          <w:sz w:val="24"/>
          <w:szCs w:val="24"/>
        </w:rPr>
      </w:pPr>
      <w:r>
        <w:t xml:space="preserve">ELABORÓ                                                                                                                                               </w:t>
      </w:r>
      <w:proofErr w:type="spellStart"/>
      <w:r>
        <w:t>Vo</w:t>
      </w:r>
      <w:proofErr w:type="spellEnd"/>
      <w:r>
        <w:t>. Bo.</w:t>
      </w:r>
    </w:p>
    <w:p w:rsidR="002D43BC" w:rsidRDefault="002D43BC" w:rsidP="002D43BC">
      <w:pPr>
        <w:jc w:val="center"/>
      </w:pPr>
    </w:p>
    <w:p w:rsidR="002D43BC" w:rsidRDefault="002D43BC" w:rsidP="002D43BC">
      <w:pPr>
        <w:jc w:val="center"/>
        <w:rPr>
          <w:b/>
          <w:sz w:val="18"/>
          <w:szCs w:val="18"/>
        </w:rPr>
      </w:pPr>
      <w:r>
        <w:t>LIC. THOMAS AGUILAR MENDOZA</w:t>
      </w:r>
      <w:r>
        <w:tab/>
      </w:r>
      <w:r>
        <w:tab/>
      </w:r>
      <w:r>
        <w:tab/>
        <w:t xml:space="preserve">                                                     LIC.  RICARDO DORANTES JIMENEZ</w:t>
      </w:r>
    </w:p>
    <w:p w:rsidR="00D44EFF" w:rsidRPr="002D43BC" w:rsidRDefault="00D44EFF" w:rsidP="002D43BC">
      <w:pPr>
        <w:jc w:val="both"/>
        <w:rPr>
          <w:rFonts w:ascii="Times New Roman" w:eastAsia="Arial Unicode MS" w:hAnsi="Times New Roman" w:cs="Times New Roman"/>
          <w:b/>
          <w:sz w:val="18"/>
          <w:szCs w:val="18"/>
          <w:bdr w:val="nil"/>
        </w:rPr>
      </w:pPr>
      <w:bookmarkStart w:id="0" w:name="_GoBack"/>
      <w:bookmarkEnd w:id="0"/>
    </w:p>
    <w:sectPr w:rsidR="00D44EFF" w:rsidRPr="002D43BC" w:rsidSect="0086030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7BE"/>
    <w:multiLevelType w:val="hybridMultilevel"/>
    <w:tmpl w:val="19FAEFE2"/>
    <w:lvl w:ilvl="0" w:tplc="60AABDE4">
      <w:start w:val="1"/>
      <w:numFmt w:val="lowerLetter"/>
      <w:lvlText w:val="%1)"/>
      <w:lvlJc w:val="left"/>
      <w:pPr>
        <w:ind w:left="1068" w:hanging="360"/>
      </w:pPr>
      <w:rPr>
        <w:rFonts w:ascii="Arial Narrow" w:eastAsia="Times New Roman" w:hAnsi="Arial Narrow" w:cs="Arial"/>
        <w:b/>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43EA1956"/>
    <w:multiLevelType w:val="hybridMultilevel"/>
    <w:tmpl w:val="19FAEFE2"/>
    <w:lvl w:ilvl="0" w:tplc="60AABDE4">
      <w:start w:val="1"/>
      <w:numFmt w:val="lowerLetter"/>
      <w:lvlText w:val="%1)"/>
      <w:lvlJc w:val="left"/>
      <w:pPr>
        <w:ind w:left="1068" w:hanging="360"/>
      </w:pPr>
      <w:rPr>
        <w:rFonts w:ascii="Arial Narrow" w:eastAsia="Times New Roman" w:hAnsi="Arial Narrow" w:cs="Arial"/>
        <w:b/>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4BC743D2"/>
    <w:multiLevelType w:val="hybridMultilevel"/>
    <w:tmpl w:val="19FAEFE2"/>
    <w:lvl w:ilvl="0" w:tplc="60AABDE4">
      <w:start w:val="1"/>
      <w:numFmt w:val="lowerLetter"/>
      <w:lvlText w:val="%1)"/>
      <w:lvlJc w:val="left"/>
      <w:pPr>
        <w:ind w:left="1068" w:hanging="360"/>
      </w:pPr>
      <w:rPr>
        <w:rFonts w:ascii="Arial Narrow" w:eastAsia="Times New Roman" w:hAnsi="Arial Narrow" w:cs="Arial"/>
        <w:b/>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nsid w:val="556F50C1"/>
    <w:multiLevelType w:val="hybridMultilevel"/>
    <w:tmpl w:val="19FAEFE2"/>
    <w:lvl w:ilvl="0" w:tplc="60AABDE4">
      <w:start w:val="1"/>
      <w:numFmt w:val="lowerLetter"/>
      <w:lvlText w:val="%1)"/>
      <w:lvlJc w:val="left"/>
      <w:pPr>
        <w:ind w:left="1068" w:hanging="360"/>
      </w:pPr>
      <w:rPr>
        <w:rFonts w:ascii="Arial Narrow" w:eastAsia="Times New Roman" w:hAnsi="Arial Narrow" w:cs="Arial"/>
        <w:b/>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59F37C90"/>
    <w:multiLevelType w:val="hybridMultilevel"/>
    <w:tmpl w:val="19FAEFE2"/>
    <w:lvl w:ilvl="0" w:tplc="60AABDE4">
      <w:start w:val="1"/>
      <w:numFmt w:val="lowerLetter"/>
      <w:lvlText w:val="%1)"/>
      <w:lvlJc w:val="left"/>
      <w:pPr>
        <w:ind w:left="1068" w:hanging="360"/>
      </w:pPr>
      <w:rPr>
        <w:rFonts w:ascii="Arial Narrow" w:eastAsia="Times New Roman" w:hAnsi="Arial Narrow" w:cs="Arial"/>
        <w:b/>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586D04"/>
    <w:rsid w:val="000032AF"/>
    <w:rsid w:val="00005769"/>
    <w:rsid w:val="00026210"/>
    <w:rsid w:val="00040E3E"/>
    <w:rsid w:val="00045301"/>
    <w:rsid w:val="000475C1"/>
    <w:rsid w:val="00053E61"/>
    <w:rsid w:val="000A31E7"/>
    <w:rsid w:val="000E0289"/>
    <w:rsid w:val="000E6321"/>
    <w:rsid w:val="000F7861"/>
    <w:rsid w:val="00112B9A"/>
    <w:rsid w:val="00126D56"/>
    <w:rsid w:val="00165267"/>
    <w:rsid w:val="001B1A08"/>
    <w:rsid w:val="001F7083"/>
    <w:rsid w:val="00236693"/>
    <w:rsid w:val="0024663C"/>
    <w:rsid w:val="00251753"/>
    <w:rsid w:val="00252B9C"/>
    <w:rsid w:val="002C37E2"/>
    <w:rsid w:val="002D1C3A"/>
    <w:rsid w:val="002D43BC"/>
    <w:rsid w:val="002F34FF"/>
    <w:rsid w:val="00351FC7"/>
    <w:rsid w:val="0035573C"/>
    <w:rsid w:val="003822AB"/>
    <w:rsid w:val="003909AD"/>
    <w:rsid w:val="003915B5"/>
    <w:rsid w:val="003F7BC8"/>
    <w:rsid w:val="0048630C"/>
    <w:rsid w:val="004C2909"/>
    <w:rsid w:val="004F458B"/>
    <w:rsid w:val="00503FDE"/>
    <w:rsid w:val="00554537"/>
    <w:rsid w:val="005625C3"/>
    <w:rsid w:val="00586D04"/>
    <w:rsid w:val="00605ECE"/>
    <w:rsid w:val="00606EE7"/>
    <w:rsid w:val="00651CE9"/>
    <w:rsid w:val="0065528F"/>
    <w:rsid w:val="006571CF"/>
    <w:rsid w:val="00657231"/>
    <w:rsid w:val="006707BF"/>
    <w:rsid w:val="006804E4"/>
    <w:rsid w:val="006939A1"/>
    <w:rsid w:val="00697A1E"/>
    <w:rsid w:val="006E3E33"/>
    <w:rsid w:val="006F631D"/>
    <w:rsid w:val="00730A8C"/>
    <w:rsid w:val="00762474"/>
    <w:rsid w:val="00766D33"/>
    <w:rsid w:val="007828C8"/>
    <w:rsid w:val="007B1237"/>
    <w:rsid w:val="007B5C5D"/>
    <w:rsid w:val="007C1B8A"/>
    <w:rsid w:val="007C4BFB"/>
    <w:rsid w:val="007F4C72"/>
    <w:rsid w:val="007F6A7D"/>
    <w:rsid w:val="00827AF6"/>
    <w:rsid w:val="00833528"/>
    <w:rsid w:val="008375A5"/>
    <w:rsid w:val="0086030A"/>
    <w:rsid w:val="008B24D4"/>
    <w:rsid w:val="008B51E6"/>
    <w:rsid w:val="008C2264"/>
    <w:rsid w:val="008C725F"/>
    <w:rsid w:val="00905786"/>
    <w:rsid w:val="00933B67"/>
    <w:rsid w:val="009413BC"/>
    <w:rsid w:val="009A38BE"/>
    <w:rsid w:val="009C3FC3"/>
    <w:rsid w:val="009C6BD3"/>
    <w:rsid w:val="009D5EFC"/>
    <w:rsid w:val="00A53806"/>
    <w:rsid w:val="00A710AE"/>
    <w:rsid w:val="00AA0D16"/>
    <w:rsid w:val="00AE1165"/>
    <w:rsid w:val="00B073AF"/>
    <w:rsid w:val="00B21302"/>
    <w:rsid w:val="00B57E39"/>
    <w:rsid w:val="00B76F94"/>
    <w:rsid w:val="00B97693"/>
    <w:rsid w:val="00C04840"/>
    <w:rsid w:val="00C45B94"/>
    <w:rsid w:val="00C70833"/>
    <w:rsid w:val="00CC3DD0"/>
    <w:rsid w:val="00D21689"/>
    <w:rsid w:val="00D44EFF"/>
    <w:rsid w:val="00D833DB"/>
    <w:rsid w:val="00DC2B33"/>
    <w:rsid w:val="00DD3909"/>
    <w:rsid w:val="00DE2A64"/>
    <w:rsid w:val="00DF2BB3"/>
    <w:rsid w:val="00E729B2"/>
    <w:rsid w:val="00E774C4"/>
    <w:rsid w:val="00ED6186"/>
    <w:rsid w:val="00ED7630"/>
    <w:rsid w:val="00EF1F0E"/>
    <w:rsid w:val="00F100AB"/>
    <w:rsid w:val="00FA2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6321"/>
    <w:rPr>
      <w:color w:val="0000FF" w:themeColor="hyperlink"/>
      <w:u w:val="single"/>
    </w:rPr>
  </w:style>
  <w:style w:type="paragraph" w:customStyle="1" w:styleId="ecxmsonormal">
    <w:name w:val="ecxmsonormal"/>
    <w:basedOn w:val="Normal"/>
    <w:rsid w:val="007B12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D6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186"/>
    <w:rPr>
      <w:rFonts w:ascii="Tahoma" w:hAnsi="Tahoma" w:cs="Tahoma"/>
      <w:sz w:val="16"/>
      <w:szCs w:val="16"/>
    </w:rPr>
  </w:style>
  <w:style w:type="paragraph" w:customStyle="1" w:styleId="CuerpoA">
    <w:name w:val="Cuerpo A"/>
    <w:rsid w:val="002D43BC"/>
    <w:rPr>
      <w:rFonts w:ascii="Calibri" w:eastAsia="Calibri" w:hAnsi="Calibri" w:cs="Calibri"/>
      <w:color w:val="000000"/>
      <w:u w:color="00000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221A-8888-4ABA-B04D-332C3E42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3036</Words>
  <Characters>16702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Cotaipo</cp:lastModifiedBy>
  <cp:revision>27</cp:revision>
  <cp:lastPrinted>2017-01-18T00:46:00Z</cp:lastPrinted>
  <dcterms:created xsi:type="dcterms:W3CDTF">2016-08-04T21:06:00Z</dcterms:created>
  <dcterms:modified xsi:type="dcterms:W3CDTF">2017-01-18T00:46:00Z</dcterms:modified>
</cp:coreProperties>
</file>